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3E" w:rsidRPr="00386E34" w:rsidRDefault="004870FE" w:rsidP="004870FE">
      <w:pPr>
        <w:spacing w:after="0" w:line="240" w:lineRule="auto"/>
        <w:ind w:firstLine="567"/>
        <w:jc w:val="center"/>
        <w:rPr>
          <w:rFonts w:cs="Times New Roman"/>
          <w:b/>
          <w:sz w:val="20"/>
          <w:szCs w:val="20"/>
        </w:rPr>
      </w:pPr>
      <w:r w:rsidRPr="00386E34">
        <w:rPr>
          <w:rFonts w:cs="Times New Roman"/>
          <w:b/>
          <w:sz w:val="20"/>
          <w:szCs w:val="20"/>
        </w:rPr>
        <w:t>Денежно-кредитная политика.</w:t>
      </w:r>
    </w:p>
    <w:p w:rsidR="004870FE" w:rsidRPr="00386E34" w:rsidRDefault="004870FE" w:rsidP="004870FE">
      <w:pPr>
        <w:pStyle w:val="a3"/>
        <w:spacing w:after="0" w:line="240" w:lineRule="auto"/>
        <w:ind w:left="1287"/>
        <w:jc w:val="both"/>
        <w:rPr>
          <w:rFonts w:cs="Times New Roman"/>
          <w:sz w:val="20"/>
          <w:szCs w:val="20"/>
        </w:rPr>
      </w:pPr>
    </w:p>
    <w:p w:rsidR="004870FE" w:rsidRPr="00386E34" w:rsidRDefault="004870FE" w:rsidP="004870FE">
      <w:pPr>
        <w:pStyle w:val="a3"/>
        <w:numPr>
          <w:ilvl w:val="0"/>
          <w:numId w:val="1"/>
        </w:numPr>
        <w:spacing w:after="0" w:line="240" w:lineRule="auto"/>
        <w:ind w:firstLine="567"/>
        <w:rPr>
          <w:rFonts w:cs="Times New Roman"/>
          <w:sz w:val="20"/>
          <w:szCs w:val="20"/>
        </w:rPr>
      </w:pPr>
      <w:r w:rsidRPr="00386E34">
        <w:rPr>
          <w:rFonts w:cs="Times New Roman"/>
          <w:sz w:val="20"/>
          <w:szCs w:val="20"/>
        </w:rPr>
        <w:t>Денежно-кредитная политика и ее цели.</w:t>
      </w:r>
    </w:p>
    <w:p w:rsidR="004870FE" w:rsidRPr="00386E34" w:rsidRDefault="004870FE" w:rsidP="004870FE">
      <w:pPr>
        <w:pStyle w:val="a3"/>
        <w:numPr>
          <w:ilvl w:val="0"/>
          <w:numId w:val="1"/>
        </w:numPr>
        <w:spacing w:after="0" w:line="240" w:lineRule="auto"/>
        <w:ind w:firstLine="567"/>
        <w:rPr>
          <w:rFonts w:cs="Times New Roman"/>
          <w:sz w:val="20"/>
          <w:szCs w:val="20"/>
        </w:rPr>
      </w:pPr>
      <w:r w:rsidRPr="00386E34">
        <w:rPr>
          <w:rFonts w:cs="Times New Roman"/>
          <w:sz w:val="20"/>
          <w:szCs w:val="20"/>
        </w:rPr>
        <w:t>Инструменты денежно-кредитной политики.</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p>
    <w:p w:rsidR="004870FE" w:rsidRPr="00386E34" w:rsidRDefault="004870FE" w:rsidP="004870FE">
      <w:pPr>
        <w:pStyle w:val="a4"/>
        <w:numPr>
          <w:ilvl w:val="0"/>
          <w:numId w:val="8"/>
        </w:numPr>
        <w:spacing w:before="0" w:beforeAutospacing="0" w:after="0" w:afterAutospacing="0"/>
        <w:jc w:val="both"/>
        <w:rPr>
          <w:rFonts w:asciiTheme="minorHAnsi" w:hAnsiTheme="minorHAnsi"/>
          <w:color w:val="000000"/>
          <w:sz w:val="20"/>
          <w:szCs w:val="20"/>
        </w:rPr>
      </w:pPr>
      <w:r w:rsidRPr="00386E34">
        <w:rPr>
          <w:rFonts w:asciiTheme="minorHAnsi" w:hAnsiTheme="minorHAnsi"/>
          <w:b/>
          <w:sz w:val="20"/>
          <w:szCs w:val="20"/>
        </w:rPr>
        <w:t>Под денежно-кредитной политикой государства</w:t>
      </w:r>
      <w:r w:rsidRPr="00386E34">
        <w:rPr>
          <w:rFonts w:asciiTheme="minorHAnsi" w:hAnsiTheme="minorHAnsi"/>
          <w:sz w:val="20"/>
          <w:szCs w:val="20"/>
        </w:rPr>
        <w:t xml:space="preserve"> понимается совокупность мер экономического регулирования денежного обращения и кредита, направленных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Денежно-кредитная политика состоит в изменении денежного предложения с целью стабилизации совокупного объема производства (стабильного роста), занятости и уровня цен</w:t>
      </w:r>
      <w:proofErr w:type="gramStart"/>
      <w:r w:rsidRPr="00386E34">
        <w:rPr>
          <w:rFonts w:asciiTheme="minorHAnsi" w:hAnsiTheme="minorHAnsi"/>
          <w:sz w:val="20"/>
          <w:szCs w:val="20"/>
        </w:rPr>
        <w:t>.Д</w:t>
      </w:r>
      <w:proofErr w:type="gramEnd"/>
      <w:r w:rsidRPr="00386E34">
        <w:rPr>
          <w:rFonts w:asciiTheme="minorHAnsi" w:hAnsiTheme="minorHAnsi"/>
          <w:sz w:val="20"/>
          <w:szCs w:val="20"/>
        </w:rPr>
        <w:t>енежно-кредитная политика служит одним из важнейших методов вмешательства государства в процесс воспроизводства.</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bCs/>
          <w:sz w:val="20"/>
          <w:szCs w:val="20"/>
        </w:rPr>
        <w:t xml:space="preserve">Денежно-кредитная политика </w:t>
      </w:r>
      <w:r w:rsidRPr="00386E34">
        <w:rPr>
          <w:rFonts w:asciiTheme="minorHAnsi" w:hAnsiTheme="minorHAnsi"/>
          <w:sz w:val="20"/>
          <w:szCs w:val="20"/>
        </w:rPr>
        <w:t>осуществляется центральными банками в тесном контакте с Министерством финансов совместно с другими органами государства.</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xml:space="preserve">Основополагающей целью кредитно-денежной политики является помощь экономике в достижении общего уровня производства, характеризующейся полной занятостью и отсутствием инфляции. Кредитно-денежная политика состоит в изменении денежного предложения с целью стабилизации совокупного объема производства, занятости и уровня цен. Центральный банк главный, но не единственный орган регулирования. </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xml:space="preserve">Осуществляя кредитное регулирование, государство преследует следующие цели-воздействуя на кредитную деятельность коммерческих банков </w:t>
      </w:r>
      <w:proofErr w:type="gramStart"/>
      <w:r w:rsidRPr="00386E34">
        <w:rPr>
          <w:rFonts w:asciiTheme="minorHAnsi" w:hAnsiTheme="minorHAnsi"/>
          <w:sz w:val="20"/>
          <w:szCs w:val="20"/>
        </w:rPr>
        <w:t>и</w:t>
      </w:r>
      <w:proofErr w:type="gramEnd"/>
      <w:r w:rsidRPr="00386E34">
        <w:rPr>
          <w:rFonts w:asciiTheme="minorHAnsi" w:hAnsiTheme="minorHAnsi"/>
          <w:sz w:val="20"/>
          <w:szCs w:val="20"/>
        </w:rPr>
        <w:t xml:space="preserve">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экспертов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xml:space="preserve">Кредитная политика осуществляется </w:t>
      </w:r>
      <w:r w:rsidRPr="00386E34">
        <w:rPr>
          <w:rFonts w:asciiTheme="minorHAnsi" w:hAnsiTheme="minorHAnsi"/>
          <w:b/>
          <w:bCs/>
          <w:sz w:val="20"/>
          <w:szCs w:val="20"/>
        </w:rPr>
        <w:t xml:space="preserve">косвенными </w:t>
      </w:r>
      <w:r w:rsidRPr="00386E34">
        <w:rPr>
          <w:rFonts w:asciiTheme="minorHAnsi" w:hAnsiTheme="minorHAnsi"/>
          <w:sz w:val="20"/>
          <w:szCs w:val="20"/>
        </w:rPr>
        <w:t xml:space="preserve">и </w:t>
      </w:r>
      <w:r w:rsidRPr="00386E34">
        <w:rPr>
          <w:rFonts w:asciiTheme="minorHAnsi" w:hAnsiTheme="minorHAnsi"/>
          <w:b/>
          <w:bCs/>
          <w:sz w:val="20"/>
          <w:szCs w:val="20"/>
        </w:rPr>
        <w:t xml:space="preserve">прямыми </w:t>
      </w:r>
      <w:r w:rsidRPr="00386E34">
        <w:rPr>
          <w:rFonts w:asciiTheme="minorHAnsi" w:hAnsiTheme="minorHAnsi"/>
          <w:sz w:val="20"/>
          <w:szCs w:val="20"/>
        </w:rPr>
        <w:t>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p>
    <w:p w:rsidR="004870FE" w:rsidRPr="00386E34" w:rsidRDefault="004870FE" w:rsidP="004870FE">
      <w:pPr>
        <w:pStyle w:val="a4"/>
        <w:spacing w:before="0" w:beforeAutospacing="0" w:after="0" w:afterAutospacing="0"/>
        <w:ind w:left="75" w:right="75" w:firstLine="567"/>
        <w:jc w:val="both"/>
        <w:rPr>
          <w:rFonts w:asciiTheme="minorHAnsi" w:hAnsiTheme="minorHAnsi"/>
          <w:sz w:val="20"/>
          <w:szCs w:val="20"/>
        </w:rPr>
      </w:pPr>
      <w:r w:rsidRPr="00386E34">
        <w:rPr>
          <w:rFonts w:asciiTheme="minorHAnsi" w:hAnsiTheme="minorHAnsi"/>
          <w:sz w:val="20"/>
          <w:szCs w:val="20"/>
        </w:rPr>
        <w:t>В условиях высокоразвитой рыночной экономики в основе д</w:t>
      </w:r>
      <w:r w:rsidRPr="00386E34">
        <w:rPr>
          <w:rFonts w:asciiTheme="minorHAnsi" w:hAnsiTheme="minorHAnsi"/>
          <w:b/>
          <w:bCs/>
          <w:sz w:val="20"/>
          <w:szCs w:val="20"/>
        </w:rPr>
        <w:t xml:space="preserve">енежно-кредитной политики </w:t>
      </w:r>
      <w:r w:rsidRPr="00386E34">
        <w:rPr>
          <w:rFonts w:asciiTheme="minorHAnsi" w:hAnsiTheme="minorHAnsi"/>
          <w:sz w:val="20"/>
          <w:szCs w:val="20"/>
        </w:rPr>
        <w:t>лежит принцип "компенсационного регулирования". Принцип компенсационного регулирования включает сочетание двух комплексов мероприятий:</w:t>
      </w:r>
    </w:p>
    <w:p w:rsidR="004870FE" w:rsidRPr="00386E34" w:rsidRDefault="004870FE" w:rsidP="00386E34">
      <w:pPr>
        <w:pStyle w:val="a4"/>
        <w:spacing w:before="0" w:beforeAutospacing="0" w:after="0" w:afterAutospacing="0"/>
        <w:ind w:left="75" w:right="75" w:firstLine="567"/>
        <w:jc w:val="both"/>
        <w:rPr>
          <w:rFonts w:asciiTheme="minorHAnsi" w:hAnsiTheme="minorHAnsi"/>
          <w:sz w:val="20"/>
          <w:szCs w:val="20"/>
        </w:rPr>
      </w:pPr>
      <w:r w:rsidRPr="00386E34">
        <w:rPr>
          <w:rFonts w:asciiTheme="minorHAnsi" w:hAnsiTheme="minorHAnsi"/>
          <w:sz w:val="20"/>
          <w:szCs w:val="20"/>
        </w:rPr>
        <w:t>· политики денежно-кредитной рестрикции (ограничения кредитных операций, повышения уровня процентных ставок, торможения темпов роста денежной массы в обращении);</w:t>
      </w:r>
    </w:p>
    <w:p w:rsidR="004870FE" w:rsidRPr="00386E34" w:rsidRDefault="004870FE" w:rsidP="00386E34">
      <w:pPr>
        <w:pStyle w:val="a4"/>
        <w:spacing w:before="0" w:beforeAutospacing="0" w:after="0" w:afterAutospacing="0"/>
        <w:ind w:left="75" w:right="75"/>
        <w:jc w:val="both"/>
        <w:rPr>
          <w:rFonts w:asciiTheme="minorHAnsi" w:hAnsiTheme="minorHAnsi"/>
          <w:sz w:val="20"/>
          <w:szCs w:val="20"/>
        </w:rPr>
      </w:pPr>
      <w:r w:rsidRPr="00386E34">
        <w:rPr>
          <w:rFonts w:asciiTheme="minorHAnsi" w:hAnsiTheme="minorHAnsi"/>
          <w:sz w:val="20"/>
          <w:szCs w:val="20"/>
        </w:rPr>
        <w:t>· политики денежно-кредитной экспансии (стимулирование кредитных операций через снижение нормы процента и увеличение денежной массы в обращении). Политика денежно-кредитной рестрикции (политика "дорогих денег") применяется в условиях циклического оживления хозяйственной конъюнктуры. Она сдерживает рост денежной массы и может быть использована в качестве противодействия инфляции.</w:t>
      </w:r>
    </w:p>
    <w:p w:rsidR="004870FE" w:rsidRPr="00386E34" w:rsidRDefault="004870FE" w:rsidP="00386E34">
      <w:pPr>
        <w:pStyle w:val="a4"/>
        <w:spacing w:before="0" w:beforeAutospacing="0" w:after="0" w:afterAutospacing="0"/>
        <w:ind w:left="75" w:right="75"/>
        <w:jc w:val="both"/>
        <w:rPr>
          <w:rFonts w:asciiTheme="minorHAnsi" w:hAnsiTheme="minorHAnsi"/>
          <w:sz w:val="20"/>
          <w:szCs w:val="20"/>
        </w:rPr>
      </w:pPr>
      <w:r w:rsidRPr="00386E34">
        <w:rPr>
          <w:rFonts w:asciiTheme="minorHAnsi" w:hAnsiTheme="minorHAnsi"/>
          <w:sz w:val="20"/>
          <w:szCs w:val="20"/>
        </w:rPr>
        <w:t xml:space="preserve"> Политика денежно-кредитной экспансии (политика "дешевых денег") применяется в кризисной фазе цикла, в условиях падения производства и увеличения безработицы. Она заключается в стимулировании кредитных операций банков, введении более льготных условий кредитования в целях хозяйственного оживления. Политика «дешевых денег» ЦБ направлена на стимулирование экономики через рост денежной массы и снижение процентных ставок.</w:t>
      </w:r>
    </w:p>
    <w:p w:rsidR="004870FE" w:rsidRPr="00386E34" w:rsidRDefault="004870FE" w:rsidP="00386E34">
      <w:pPr>
        <w:shd w:val="clear" w:color="auto" w:fill="FFFFFF"/>
        <w:spacing w:after="0" w:line="240" w:lineRule="auto"/>
        <w:ind w:firstLine="567"/>
        <w:jc w:val="both"/>
        <w:textAlignment w:val="top"/>
        <w:rPr>
          <w:rFonts w:eastAsia="Times New Roman" w:cs="Times New Roman"/>
          <w:b/>
          <w:sz w:val="20"/>
          <w:szCs w:val="20"/>
          <w:lang w:eastAsia="ru-RU"/>
        </w:rPr>
      </w:pPr>
      <w:r w:rsidRPr="00386E34">
        <w:rPr>
          <w:rFonts w:eastAsia="Times New Roman" w:cs="Times New Roman"/>
          <w:b/>
          <w:bCs/>
          <w:sz w:val="20"/>
          <w:szCs w:val="20"/>
          <w:lang w:eastAsia="ru-RU"/>
        </w:rPr>
        <w:t>Основные цели кредитно-денежной политики государства:</w:t>
      </w:r>
    </w:p>
    <w:p w:rsidR="004870FE" w:rsidRPr="00386E34" w:rsidRDefault="004870FE" w:rsidP="00386E34">
      <w:pPr>
        <w:shd w:val="clear" w:color="auto" w:fill="FFFFFF"/>
        <w:spacing w:after="0" w:line="240" w:lineRule="auto"/>
        <w:jc w:val="both"/>
        <w:textAlignment w:val="top"/>
        <w:rPr>
          <w:rFonts w:eastAsia="Times New Roman" w:cs="Times New Roman"/>
          <w:sz w:val="20"/>
          <w:szCs w:val="20"/>
          <w:lang w:eastAsia="ru-RU"/>
        </w:rPr>
      </w:pPr>
      <w:r w:rsidRPr="00386E34">
        <w:rPr>
          <w:rFonts w:eastAsia="Times New Roman" w:cs="Times New Roman"/>
          <w:sz w:val="20"/>
          <w:szCs w:val="20"/>
          <w:lang w:eastAsia="ru-RU"/>
        </w:rPr>
        <w:t xml:space="preserve">- Сдерживание </w:t>
      </w:r>
      <w:hyperlink r:id="rId5" w:tooltip="Инфляция" w:history="1">
        <w:r w:rsidRPr="00386E34">
          <w:rPr>
            <w:rFonts w:eastAsia="Times New Roman" w:cs="Times New Roman"/>
            <w:sz w:val="20"/>
            <w:szCs w:val="20"/>
            <w:lang w:eastAsia="ru-RU"/>
          </w:rPr>
          <w:t>инфляции</w:t>
        </w:r>
      </w:hyperlink>
      <w:r w:rsidRPr="00386E34">
        <w:rPr>
          <w:rFonts w:eastAsia="Times New Roman" w:cs="Times New Roman"/>
          <w:sz w:val="20"/>
          <w:szCs w:val="20"/>
          <w:lang w:eastAsia="ru-RU"/>
        </w:rPr>
        <w:t>;</w:t>
      </w:r>
    </w:p>
    <w:p w:rsidR="004870FE" w:rsidRPr="00386E34" w:rsidRDefault="004870FE" w:rsidP="00386E34">
      <w:pPr>
        <w:shd w:val="clear" w:color="auto" w:fill="FFFFFF"/>
        <w:spacing w:after="0" w:line="240" w:lineRule="auto"/>
        <w:jc w:val="both"/>
        <w:textAlignment w:val="top"/>
        <w:rPr>
          <w:rFonts w:eastAsia="Times New Roman" w:cs="Times New Roman"/>
          <w:sz w:val="20"/>
          <w:szCs w:val="20"/>
          <w:lang w:eastAsia="ru-RU"/>
        </w:rPr>
      </w:pPr>
      <w:r w:rsidRPr="00386E34">
        <w:rPr>
          <w:rFonts w:eastAsia="Times New Roman" w:cs="Times New Roman"/>
          <w:sz w:val="20"/>
          <w:szCs w:val="20"/>
          <w:lang w:eastAsia="ru-RU"/>
        </w:rPr>
        <w:t xml:space="preserve">- обеспечение </w:t>
      </w:r>
      <w:hyperlink r:id="rId6" w:tooltip="Полная занятость" w:history="1">
        <w:r w:rsidRPr="00386E34">
          <w:rPr>
            <w:rFonts w:eastAsia="Times New Roman" w:cs="Times New Roman"/>
            <w:sz w:val="20"/>
            <w:szCs w:val="20"/>
            <w:lang w:eastAsia="ru-RU"/>
          </w:rPr>
          <w:t>полной занятости</w:t>
        </w:r>
      </w:hyperlink>
      <w:r w:rsidRPr="00386E34">
        <w:rPr>
          <w:rFonts w:eastAsia="Times New Roman" w:cs="Times New Roman"/>
          <w:sz w:val="20"/>
          <w:szCs w:val="20"/>
          <w:lang w:eastAsia="ru-RU"/>
        </w:rPr>
        <w:t>;</w:t>
      </w:r>
    </w:p>
    <w:p w:rsidR="004870FE" w:rsidRPr="00386E34" w:rsidRDefault="004870FE" w:rsidP="00386E34">
      <w:pPr>
        <w:shd w:val="clear" w:color="auto" w:fill="FFFFFF"/>
        <w:spacing w:after="0" w:line="240" w:lineRule="auto"/>
        <w:jc w:val="both"/>
        <w:textAlignment w:val="top"/>
        <w:rPr>
          <w:rFonts w:eastAsia="Times New Roman" w:cs="Times New Roman"/>
          <w:sz w:val="20"/>
          <w:szCs w:val="20"/>
          <w:lang w:eastAsia="ru-RU"/>
        </w:rPr>
      </w:pPr>
      <w:r w:rsidRPr="00386E34">
        <w:rPr>
          <w:rFonts w:eastAsia="Times New Roman" w:cs="Times New Roman"/>
          <w:sz w:val="20"/>
          <w:szCs w:val="20"/>
          <w:lang w:eastAsia="ru-RU"/>
        </w:rPr>
        <w:t xml:space="preserve">- регулирование темпов </w:t>
      </w:r>
      <w:hyperlink r:id="rId7" w:tooltip="Экономический рост" w:history="1">
        <w:r w:rsidRPr="00386E34">
          <w:rPr>
            <w:rFonts w:eastAsia="Times New Roman" w:cs="Times New Roman"/>
            <w:sz w:val="20"/>
            <w:szCs w:val="20"/>
            <w:lang w:eastAsia="ru-RU"/>
          </w:rPr>
          <w:t>экономического роста</w:t>
        </w:r>
      </w:hyperlink>
      <w:r w:rsidRPr="00386E34">
        <w:rPr>
          <w:rFonts w:eastAsia="Times New Roman" w:cs="Times New Roman"/>
          <w:sz w:val="20"/>
          <w:szCs w:val="20"/>
          <w:lang w:eastAsia="ru-RU"/>
        </w:rPr>
        <w:t>;</w:t>
      </w:r>
    </w:p>
    <w:p w:rsidR="004870FE" w:rsidRPr="00386E34" w:rsidRDefault="004870FE" w:rsidP="00386E34">
      <w:pPr>
        <w:shd w:val="clear" w:color="auto" w:fill="FFFFFF"/>
        <w:spacing w:after="0" w:line="240" w:lineRule="auto"/>
        <w:jc w:val="both"/>
        <w:textAlignment w:val="top"/>
        <w:rPr>
          <w:rFonts w:eastAsia="Times New Roman" w:cs="Times New Roman"/>
          <w:sz w:val="20"/>
          <w:szCs w:val="20"/>
          <w:lang w:eastAsia="ru-RU"/>
        </w:rPr>
      </w:pPr>
      <w:r w:rsidRPr="00386E34">
        <w:rPr>
          <w:rFonts w:eastAsia="Times New Roman" w:cs="Times New Roman"/>
          <w:sz w:val="20"/>
          <w:szCs w:val="20"/>
          <w:lang w:eastAsia="ru-RU"/>
        </w:rPr>
        <w:t>- смягчение циклических колебаний в экономике;</w:t>
      </w:r>
    </w:p>
    <w:p w:rsidR="004870FE" w:rsidRPr="00386E34" w:rsidRDefault="004870FE" w:rsidP="00386E34">
      <w:pPr>
        <w:shd w:val="clear" w:color="auto" w:fill="FFFFFF"/>
        <w:spacing w:after="0" w:line="240" w:lineRule="auto"/>
        <w:jc w:val="both"/>
        <w:textAlignment w:val="top"/>
        <w:rPr>
          <w:rFonts w:eastAsia="Times New Roman" w:cs="Times New Roman"/>
          <w:sz w:val="20"/>
          <w:szCs w:val="20"/>
          <w:lang w:eastAsia="ru-RU"/>
        </w:rPr>
      </w:pPr>
      <w:r w:rsidRPr="00386E34">
        <w:rPr>
          <w:rFonts w:eastAsia="Times New Roman" w:cs="Times New Roman"/>
          <w:sz w:val="20"/>
          <w:szCs w:val="20"/>
          <w:lang w:eastAsia="ru-RU"/>
        </w:rPr>
        <w:t>- обеспечение устойчивости платежного баланса.</w:t>
      </w:r>
    </w:p>
    <w:p w:rsidR="004870FE" w:rsidRPr="00386E34" w:rsidRDefault="004870FE" w:rsidP="00386E34">
      <w:pPr>
        <w:pStyle w:val="a4"/>
        <w:spacing w:before="0" w:beforeAutospacing="0" w:after="0" w:afterAutospacing="0"/>
        <w:ind w:firstLine="567"/>
        <w:jc w:val="both"/>
        <w:rPr>
          <w:rFonts w:asciiTheme="minorHAnsi" w:hAnsiTheme="minorHAnsi"/>
          <w:b/>
          <w:sz w:val="20"/>
          <w:szCs w:val="20"/>
        </w:rPr>
      </w:pPr>
      <w:bookmarkStart w:id="0" w:name="_GoBack"/>
      <w:r w:rsidRPr="00386E34">
        <w:rPr>
          <w:rFonts w:asciiTheme="minorHAnsi" w:hAnsiTheme="minorHAnsi"/>
          <w:b/>
          <w:sz w:val="20"/>
          <w:szCs w:val="20"/>
        </w:rPr>
        <w:t>К преимуществам денежно-кредитной политики следует отнести:</w:t>
      </w:r>
    </w:p>
    <w:bookmarkEnd w:id="0"/>
    <w:p w:rsidR="004870FE" w:rsidRPr="00386E34" w:rsidRDefault="004870FE" w:rsidP="00386E34">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быстроту и гибкость (предложение денег можно изменять без законодательных процедур);</w:t>
      </w:r>
    </w:p>
    <w:p w:rsidR="004870FE" w:rsidRPr="00386E34" w:rsidRDefault="004870FE" w:rsidP="00386E34">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независимость от политического давления (существует закон о ЦБ, определяющий его функции и полномочия);</w:t>
      </w:r>
    </w:p>
    <w:p w:rsidR="004870FE" w:rsidRPr="00386E34" w:rsidRDefault="004870FE" w:rsidP="00386E34">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lastRenderedPageBreak/>
        <w:t>· "мягкость", определенная "деликатность" в реализации основных задач в сравнении с официальной политикой.</w:t>
      </w:r>
    </w:p>
    <w:p w:rsidR="004870FE" w:rsidRPr="00386E34" w:rsidRDefault="004870FE" w:rsidP="00386E34">
      <w:pPr>
        <w:pStyle w:val="a3"/>
        <w:spacing w:after="0" w:line="240" w:lineRule="auto"/>
        <w:ind w:firstLine="567"/>
        <w:jc w:val="both"/>
        <w:rPr>
          <w:rFonts w:cs="Times New Roman"/>
          <w:sz w:val="20"/>
          <w:szCs w:val="20"/>
        </w:rPr>
      </w:pPr>
    </w:p>
    <w:p w:rsidR="004870FE" w:rsidRPr="00386E34" w:rsidRDefault="004870FE" w:rsidP="004870FE">
      <w:pPr>
        <w:pStyle w:val="a4"/>
        <w:numPr>
          <w:ilvl w:val="0"/>
          <w:numId w:val="8"/>
        </w:numPr>
        <w:spacing w:before="0" w:beforeAutospacing="0" w:after="0" w:afterAutospacing="0"/>
        <w:jc w:val="both"/>
        <w:rPr>
          <w:rFonts w:asciiTheme="minorHAnsi" w:hAnsiTheme="minorHAnsi"/>
          <w:sz w:val="20"/>
          <w:szCs w:val="20"/>
        </w:rPr>
      </w:pPr>
      <w:r w:rsidRPr="00386E34">
        <w:rPr>
          <w:rFonts w:asciiTheme="minorHAnsi" w:hAnsiTheme="minorHAnsi"/>
          <w:sz w:val="20"/>
          <w:szCs w:val="20"/>
        </w:rPr>
        <w:t>Хотя денежно-кредитная политика определяется правительством, ее проводником является ЦБ. Основными инструментами денежно-кредитной политики, наиболее часто используемыми ЦБ, являются:</w:t>
      </w:r>
    </w:p>
    <w:p w:rsidR="004870FE" w:rsidRPr="00386E34" w:rsidRDefault="004870FE" w:rsidP="004870FE">
      <w:pPr>
        <w:numPr>
          <w:ilvl w:val="0"/>
          <w:numId w:val="7"/>
        </w:numPr>
        <w:spacing w:after="0" w:line="240" w:lineRule="auto"/>
        <w:ind w:left="420" w:right="180" w:firstLine="567"/>
        <w:jc w:val="both"/>
        <w:rPr>
          <w:rFonts w:cs="Times New Roman"/>
          <w:color w:val="000000"/>
          <w:sz w:val="20"/>
          <w:szCs w:val="20"/>
        </w:rPr>
      </w:pPr>
      <w:r w:rsidRPr="00386E34">
        <w:rPr>
          <w:rFonts w:cs="Times New Roman"/>
          <w:color w:val="000000"/>
          <w:sz w:val="20"/>
          <w:szCs w:val="20"/>
        </w:rPr>
        <w:t xml:space="preserve">установление обязательной нормы резервирования; </w:t>
      </w:r>
    </w:p>
    <w:p w:rsidR="004870FE" w:rsidRPr="00386E34" w:rsidRDefault="004870FE" w:rsidP="004870FE">
      <w:pPr>
        <w:numPr>
          <w:ilvl w:val="0"/>
          <w:numId w:val="7"/>
        </w:numPr>
        <w:spacing w:after="0" w:line="240" w:lineRule="auto"/>
        <w:ind w:left="420" w:right="180" w:firstLine="567"/>
        <w:jc w:val="both"/>
        <w:rPr>
          <w:rFonts w:cs="Times New Roman"/>
          <w:color w:val="000000"/>
          <w:sz w:val="20"/>
          <w:szCs w:val="20"/>
        </w:rPr>
      </w:pPr>
      <w:r w:rsidRPr="00386E34">
        <w:rPr>
          <w:rFonts w:cs="Times New Roman"/>
          <w:color w:val="000000"/>
          <w:sz w:val="20"/>
          <w:szCs w:val="20"/>
        </w:rPr>
        <w:t xml:space="preserve">регулирование официальной учетной ставки; </w:t>
      </w:r>
    </w:p>
    <w:p w:rsidR="004870FE" w:rsidRPr="00386E34" w:rsidRDefault="004870FE" w:rsidP="004870FE">
      <w:pPr>
        <w:numPr>
          <w:ilvl w:val="0"/>
          <w:numId w:val="7"/>
        </w:numPr>
        <w:spacing w:after="0" w:line="240" w:lineRule="auto"/>
        <w:ind w:left="420" w:right="180" w:firstLine="567"/>
        <w:jc w:val="both"/>
        <w:rPr>
          <w:rFonts w:cs="Times New Roman"/>
          <w:color w:val="000000"/>
          <w:sz w:val="20"/>
          <w:szCs w:val="20"/>
        </w:rPr>
      </w:pPr>
      <w:r w:rsidRPr="00386E34">
        <w:rPr>
          <w:rFonts w:cs="Times New Roman"/>
          <w:color w:val="000000"/>
          <w:sz w:val="20"/>
          <w:szCs w:val="20"/>
        </w:rPr>
        <w:t xml:space="preserve">операции на открытом рынке; </w:t>
      </w:r>
    </w:p>
    <w:p w:rsidR="004870FE" w:rsidRPr="00386E34" w:rsidRDefault="004870FE" w:rsidP="004870FE">
      <w:pPr>
        <w:numPr>
          <w:ilvl w:val="0"/>
          <w:numId w:val="7"/>
        </w:numPr>
        <w:spacing w:after="0" w:line="240" w:lineRule="auto"/>
        <w:ind w:left="420" w:right="180" w:firstLine="567"/>
        <w:jc w:val="both"/>
        <w:rPr>
          <w:rFonts w:cs="Times New Roman"/>
          <w:color w:val="000000"/>
          <w:sz w:val="20"/>
          <w:szCs w:val="20"/>
        </w:rPr>
      </w:pPr>
      <w:r w:rsidRPr="00386E34">
        <w:rPr>
          <w:rFonts w:cs="Times New Roman"/>
          <w:color w:val="000000"/>
          <w:sz w:val="20"/>
          <w:szCs w:val="20"/>
        </w:rPr>
        <w:t xml:space="preserve">административные меры. </w:t>
      </w:r>
    </w:p>
    <w:p w:rsidR="004870FE" w:rsidRPr="00386E34" w:rsidRDefault="004870FE" w:rsidP="004870FE">
      <w:pPr>
        <w:pStyle w:val="a4"/>
        <w:spacing w:before="0" w:beforeAutospacing="0" w:after="0" w:afterAutospacing="0"/>
        <w:ind w:firstLine="567"/>
        <w:jc w:val="both"/>
        <w:rPr>
          <w:rFonts w:asciiTheme="minorHAnsi" w:hAnsiTheme="minorHAnsi"/>
          <w:b/>
          <w:color w:val="000000"/>
          <w:sz w:val="20"/>
          <w:szCs w:val="20"/>
        </w:rPr>
      </w:pPr>
      <w:r w:rsidRPr="00386E34">
        <w:rPr>
          <w:rFonts w:asciiTheme="minorHAnsi" w:hAnsiTheme="minorHAnsi"/>
          <w:b/>
          <w:sz w:val="20"/>
          <w:szCs w:val="20"/>
        </w:rPr>
        <w:t>Политика обязательных резервов</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В настоящее время минимальные резервы - это часть банковских активов, которые любой коммерческий банк обязан хранить на счетах Центрального банка.</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w:t>
      </w:r>
    </w:p>
    <w:p w:rsidR="004870FE" w:rsidRPr="00386E34" w:rsidRDefault="004870FE" w:rsidP="004870FE">
      <w:pPr>
        <w:pStyle w:val="2"/>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Рефинансирование коммерческих банков</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Термин "рефинансирование" означает получение денежных сре</w:t>
      </w:r>
      <w:proofErr w:type="gramStart"/>
      <w:r w:rsidRPr="00386E34">
        <w:rPr>
          <w:rFonts w:asciiTheme="minorHAnsi" w:hAnsiTheme="minorHAnsi"/>
          <w:sz w:val="20"/>
          <w:szCs w:val="20"/>
        </w:rPr>
        <w:t>дств кр</w:t>
      </w:r>
      <w:proofErr w:type="gramEnd"/>
      <w:r w:rsidRPr="00386E34">
        <w:rPr>
          <w:rFonts w:asciiTheme="minorHAnsi" w:hAnsiTheme="minorHAnsi"/>
          <w:sz w:val="20"/>
          <w:szCs w:val="20"/>
        </w:rPr>
        <w:t>едитными учреждениями от Центрального банка. Следовательно, изменение учетной ставки (рефинансирование)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т.к. происходит изменение процентных ставок по активным кредитным операциям.</w:t>
      </w:r>
    </w:p>
    <w:p w:rsidR="004870FE" w:rsidRPr="00386E34" w:rsidRDefault="004870FE" w:rsidP="004870FE">
      <w:pPr>
        <w:pStyle w:val="2"/>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Операции на открытом рынке</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Этот метод заключается в том, что Центральный банк осуществляет операции купли-продажи ценных бумаг в банковской системе, Покупая ценные бумаги на открытом рынке, Центральный банк увеличивает резервы коммерческих банков и способствует росту денежного предложения. Продажа ценных бумаг ЦБ приводит к обратным последствиям. Центральный банк периодически вносит изменения в указанный метод кредитного регулирования, изменяя интенсивность своих операций, их частоту.</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xml:space="preserve">Операции на открытом рынке - наиболее действенный и гибкий рыночный инструмент денежно-кредитной политики ЦБ, обеспечивающий эффективное воздействие на денежный рынок и банковский кредит, </w:t>
      </w:r>
      <w:proofErr w:type="gramStart"/>
      <w:r w:rsidRPr="00386E34">
        <w:rPr>
          <w:rFonts w:asciiTheme="minorHAnsi" w:hAnsiTheme="minorHAnsi"/>
          <w:sz w:val="20"/>
          <w:szCs w:val="20"/>
        </w:rPr>
        <w:t>а</w:t>
      </w:r>
      <w:proofErr w:type="gramEnd"/>
      <w:r w:rsidRPr="00386E34">
        <w:rPr>
          <w:rFonts w:asciiTheme="minorHAnsi" w:hAnsiTheme="minorHAnsi"/>
          <w:sz w:val="20"/>
          <w:szCs w:val="20"/>
        </w:rPr>
        <w:t xml:space="preserve"> следовательно, и на всю экономику. Механизм операций на открытом рынке не сложен, что делает его привлекательным для использования.</w:t>
      </w:r>
    </w:p>
    <w:p w:rsidR="004870FE" w:rsidRPr="00386E34" w:rsidRDefault="004870FE" w:rsidP="004870FE">
      <w:pPr>
        <w:pStyle w:val="2"/>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Прочие методы регулирования денежно-кредитной сферы</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 xml:space="preserve">Наряду с </w:t>
      </w:r>
      <w:proofErr w:type="gramStart"/>
      <w:r w:rsidRPr="00386E34">
        <w:rPr>
          <w:rFonts w:asciiTheme="minorHAnsi" w:hAnsiTheme="minorHAnsi"/>
          <w:sz w:val="20"/>
          <w:szCs w:val="20"/>
        </w:rPr>
        <w:t>экономическими методами</w:t>
      </w:r>
      <w:proofErr w:type="gramEnd"/>
      <w:r w:rsidRPr="00386E34">
        <w:rPr>
          <w:rFonts w:asciiTheme="minorHAnsi" w:hAnsiTheme="minorHAnsi"/>
          <w:sz w:val="20"/>
          <w:szCs w:val="20"/>
        </w:rPr>
        <w:t xml:space="preserve"> регулирования деятельности коммерческих банков ЦБ может использовать в этой области и административные методы воздействия.</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К ним относится, например, использование количественных кредитных ограничений. Этот метод кредитного регулирования представляет собой количественное ограничение суммы выданных кредитов.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в настоящее время используется не так активно, как раньше, а в некоторых странах вообще был отменен.</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Центральный банк может также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ликвидности баланса, максимального размера риска на одного заемщика и еще ряд некоторых дополняющих.</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4870FE" w:rsidRPr="00386E34" w:rsidRDefault="004870FE" w:rsidP="004870FE">
      <w:pPr>
        <w:pStyle w:val="a4"/>
        <w:spacing w:before="0" w:beforeAutospacing="0" w:after="0" w:afterAutospacing="0"/>
        <w:ind w:firstLine="567"/>
        <w:jc w:val="both"/>
        <w:rPr>
          <w:rFonts w:asciiTheme="minorHAnsi" w:hAnsiTheme="minorHAnsi"/>
          <w:sz w:val="20"/>
          <w:szCs w:val="20"/>
        </w:rPr>
      </w:pPr>
      <w:r w:rsidRPr="00386E34">
        <w:rPr>
          <w:rFonts w:asciiTheme="minorHAnsi" w:hAnsiTheme="minorHAnsi"/>
          <w:sz w:val="20"/>
          <w:szCs w:val="20"/>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может применяться в порядке исключительно вынужденных мер.</w:t>
      </w:r>
    </w:p>
    <w:p w:rsidR="004870FE" w:rsidRPr="00386E34" w:rsidRDefault="004870FE" w:rsidP="004870FE">
      <w:pPr>
        <w:pStyle w:val="a3"/>
        <w:spacing w:after="0" w:line="240" w:lineRule="auto"/>
        <w:ind w:firstLine="567"/>
        <w:jc w:val="both"/>
        <w:rPr>
          <w:rFonts w:cs="Times New Roman"/>
          <w:sz w:val="20"/>
          <w:szCs w:val="20"/>
        </w:rPr>
      </w:pPr>
    </w:p>
    <w:sectPr w:rsidR="004870FE" w:rsidRPr="00386E34" w:rsidSect="00226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69F5DA7"/>
    <w:multiLevelType w:val="multilevel"/>
    <w:tmpl w:val="5706D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0ABB"/>
    <w:multiLevelType w:val="hybridMultilevel"/>
    <w:tmpl w:val="0AF4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4225EC"/>
    <w:multiLevelType w:val="hybridMultilevel"/>
    <w:tmpl w:val="A674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977945"/>
    <w:multiLevelType w:val="hybridMultilevel"/>
    <w:tmpl w:val="46E40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364F6"/>
    <w:multiLevelType w:val="hybridMultilevel"/>
    <w:tmpl w:val="CCF68CD6"/>
    <w:lvl w:ilvl="0" w:tplc="F5C65672">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F3621D6"/>
    <w:multiLevelType w:val="hybridMultilevel"/>
    <w:tmpl w:val="D01A3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81725B"/>
    <w:multiLevelType w:val="hybridMultilevel"/>
    <w:tmpl w:val="B7AE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A34602"/>
    <w:multiLevelType w:val="multilevel"/>
    <w:tmpl w:val="07DE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AF6"/>
    <w:rsid w:val="0022604D"/>
    <w:rsid w:val="002E347E"/>
    <w:rsid w:val="00386E34"/>
    <w:rsid w:val="004870FE"/>
    <w:rsid w:val="00986AF6"/>
    <w:rsid w:val="00D23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4D"/>
  </w:style>
  <w:style w:type="paragraph" w:styleId="2">
    <w:name w:val="heading 2"/>
    <w:basedOn w:val="a"/>
    <w:link w:val="20"/>
    <w:uiPriority w:val="9"/>
    <w:qFormat/>
    <w:rsid w:val="004870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0FE"/>
    <w:pPr>
      <w:ind w:left="720"/>
      <w:contextualSpacing/>
    </w:pPr>
  </w:style>
  <w:style w:type="paragraph" w:styleId="a4">
    <w:name w:val="Normal (Web)"/>
    <w:basedOn w:val="a"/>
    <w:uiPriority w:val="99"/>
    <w:semiHidden/>
    <w:unhideWhenUsed/>
    <w:rsid w:val="0048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870F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70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0FE"/>
    <w:pPr>
      <w:ind w:left="720"/>
      <w:contextualSpacing/>
    </w:pPr>
  </w:style>
  <w:style w:type="paragraph" w:styleId="a4">
    <w:name w:val="Normal (Web)"/>
    <w:basedOn w:val="a"/>
    <w:uiPriority w:val="99"/>
    <w:semiHidden/>
    <w:unhideWhenUsed/>
    <w:rsid w:val="0048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870FE"/>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student/ekonomicheskaya-teoriya/ekonomicheskiy-r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student/statistika/zanyatye-i-bezrabotnye.html" TargetMode="External"/><Relationship Id="rId5" Type="http://schemas.openxmlformats.org/officeDocument/2006/relationships/hyperlink" Target="http://www.grandars.ru/student/ekonomicheskaya-teoriya/inflyaciya.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1292</Words>
  <Characters>7368</Characters>
  <Application>Microsoft Office Word</Application>
  <DocSecurity>0</DocSecurity>
  <Lines>61</Lines>
  <Paragraphs>17</Paragraphs>
  <ScaleCrop>false</ScaleCrop>
  <Company>SPecialiST RePack</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Кафедра</cp:lastModifiedBy>
  <cp:revision>3</cp:revision>
  <cp:lastPrinted>2013-04-09T06:44:00Z</cp:lastPrinted>
  <dcterms:created xsi:type="dcterms:W3CDTF">2013-01-29T15:35:00Z</dcterms:created>
  <dcterms:modified xsi:type="dcterms:W3CDTF">2013-04-09T06:45:00Z</dcterms:modified>
</cp:coreProperties>
</file>