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67" w:rsidRDefault="00DA0967" w:rsidP="00DA0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Оформите страховые документы по договору страхования  транспортных сре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дств в стр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аховой компании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Экос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DA0967" w:rsidRDefault="00DA0967" w:rsidP="00DA09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Гражданин Киреев Алексей Сергеевич  обратился в страховую компанию «</w:t>
      </w:r>
      <w:proofErr w:type="spellStart"/>
      <w:r>
        <w:rPr>
          <w:rFonts w:ascii="Times New Roman" w:hAnsi="Times New Roman" w:cs="Times New Roman"/>
          <w:sz w:val="20"/>
          <w:szCs w:val="20"/>
        </w:rPr>
        <w:t>Экос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с заявлением принять на страхование: </w:t>
      </w:r>
    </w:p>
    <w:p w:rsidR="00DA0967" w:rsidRDefault="00DA0967" w:rsidP="00DA09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автомобиль  «</w:t>
      </w:r>
      <w:r>
        <w:rPr>
          <w:rFonts w:ascii="Times New Roman" w:hAnsi="Times New Roman" w:cs="Times New Roman"/>
          <w:sz w:val="20"/>
        </w:rPr>
        <w:t>ВАЗ 2170«Приора» (группа 6 – ОГ</w:t>
      </w:r>
      <w:proofErr w:type="gramStart"/>
      <w:r>
        <w:rPr>
          <w:rFonts w:ascii="Times New Roman" w:hAnsi="Times New Roman" w:cs="Times New Roman"/>
          <w:sz w:val="20"/>
        </w:rPr>
        <w:t>1</w:t>
      </w:r>
      <w:proofErr w:type="gramEnd"/>
      <w:r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регистрационный номер К250КА,  год выпуска -2007г, двигатель 80.00 л.с.   </w:t>
      </w:r>
    </w:p>
    <w:p w:rsidR="00DA0967" w:rsidRDefault="00DA0967" w:rsidP="00DA09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дополнительное оборудование – аудио-видео техника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действительной стоимости имущества.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Страхуемый рис</w:t>
      </w:r>
      <w:proofErr w:type="gramStart"/>
      <w:r>
        <w:rPr>
          <w:rFonts w:ascii="Times New Roman" w:hAnsi="Times New Roman" w:cs="Times New Roman"/>
          <w:sz w:val="20"/>
          <w:szCs w:val="20"/>
        </w:rPr>
        <w:t>к-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«Ущерб» 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страхования  1 год. Договор заключен  12  марта 2013 года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Безусловная франшиза составляет 9% от страховой стоимости.  Ремонт  будет осуществляться на СТО страховщика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Согласно справки-счета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выданной торговой организацией, балансовая стоимость  автомобиля 450 тыс.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Балансовая стоимость дополнительного оборудования 60 тыс.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DA0967" w:rsidRDefault="00DA0967" w:rsidP="00DA09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Признак договора – первоначальный</w:t>
      </w:r>
    </w:p>
    <w:p w:rsidR="00DA0967" w:rsidRDefault="00DA0967" w:rsidP="00DA096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регистрации транспортного средства:</w:t>
      </w:r>
    </w:p>
    <w:p w:rsidR="00DA0967" w:rsidRDefault="00DA0967" w:rsidP="00DA09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свидетельство о регистрации 78ТС №635678, дата выдачи 21.05.2007года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страхователе: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Киреев Алексей Сергеевич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год рождения – 1968г,  дата выдачи водительского удостоверения 24.05.202г</w:t>
      </w:r>
    </w:p>
    <w:p w:rsidR="00DA0967" w:rsidRDefault="00DA0967" w:rsidP="00DA0967">
      <w:pPr>
        <w:pStyle w:val="a5"/>
        <w:jc w:val="lef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Место жительства</w:t>
      </w:r>
      <w:proofErr w:type="gramStart"/>
      <w:r>
        <w:rPr>
          <w:b w:val="0"/>
          <w:bCs w:val="0"/>
          <w:color w:val="000000"/>
          <w:sz w:val="20"/>
          <w:szCs w:val="20"/>
        </w:rPr>
        <w:t xml:space="preserve"> :</w:t>
      </w:r>
      <w:proofErr w:type="gramEnd"/>
      <w:r>
        <w:rPr>
          <w:b w:val="0"/>
          <w:bCs w:val="0"/>
          <w:color w:val="000000"/>
          <w:sz w:val="20"/>
          <w:szCs w:val="20"/>
        </w:rPr>
        <w:t xml:space="preserve"> г. Смоленск, ул. Троицкая, </w:t>
      </w:r>
      <w:proofErr w:type="spellStart"/>
      <w:r>
        <w:rPr>
          <w:b w:val="0"/>
          <w:bCs w:val="0"/>
          <w:color w:val="000000"/>
          <w:sz w:val="20"/>
          <w:szCs w:val="20"/>
        </w:rPr>
        <w:t>д</w:t>
      </w:r>
      <w:proofErr w:type="spellEnd"/>
      <w:r>
        <w:rPr>
          <w:b w:val="0"/>
          <w:bCs w:val="0"/>
          <w:color w:val="000000"/>
          <w:sz w:val="20"/>
          <w:szCs w:val="20"/>
        </w:rPr>
        <w:t xml:space="preserve"> 25, </w:t>
      </w:r>
      <w:proofErr w:type="spellStart"/>
      <w:r>
        <w:rPr>
          <w:b w:val="0"/>
          <w:bCs w:val="0"/>
          <w:color w:val="000000"/>
          <w:sz w:val="20"/>
          <w:szCs w:val="20"/>
        </w:rPr>
        <w:t>кв</w:t>
      </w:r>
      <w:proofErr w:type="spellEnd"/>
      <w:r>
        <w:rPr>
          <w:b w:val="0"/>
          <w:bCs w:val="0"/>
          <w:color w:val="000000"/>
          <w:sz w:val="20"/>
          <w:szCs w:val="20"/>
        </w:rPr>
        <w:t xml:space="preserve"> 18</w:t>
      </w:r>
    </w:p>
    <w:p w:rsidR="00DA0967" w:rsidRDefault="00DA0967" w:rsidP="00DA0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Паспортные данные: Серия – 6660, № 615123, место выдачи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ромышленным РОВД г. Смоленска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Лица, допущенные к управлению: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Фомин  Сергей Юрьевич, год рождения – 1970г, дата выдачи водительского удостоверения 10.06.2000г</w:t>
      </w:r>
    </w:p>
    <w:p w:rsidR="00DA0967" w:rsidRDefault="00DA0967" w:rsidP="00DA0967">
      <w:pPr>
        <w:pStyle w:val="a5"/>
        <w:jc w:val="lef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Место жительства : г. Смоленск, ул</w:t>
      </w:r>
      <w:proofErr w:type="gramStart"/>
      <w:r>
        <w:rPr>
          <w:b w:val="0"/>
          <w:bCs w:val="0"/>
          <w:color w:val="000000"/>
          <w:sz w:val="20"/>
          <w:szCs w:val="20"/>
        </w:rPr>
        <w:t>.Г</w:t>
      </w:r>
      <w:proofErr w:type="gramEnd"/>
      <w:r>
        <w:rPr>
          <w:b w:val="0"/>
          <w:bCs w:val="0"/>
          <w:color w:val="000000"/>
          <w:sz w:val="20"/>
          <w:szCs w:val="20"/>
        </w:rPr>
        <w:t xml:space="preserve">еоргиевская , </w:t>
      </w:r>
      <w:proofErr w:type="spellStart"/>
      <w:r>
        <w:rPr>
          <w:b w:val="0"/>
          <w:bCs w:val="0"/>
          <w:color w:val="000000"/>
          <w:sz w:val="20"/>
          <w:szCs w:val="20"/>
        </w:rPr>
        <w:t>д</w:t>
      </w:r>
      <w:proofErr w:type="spellEnd"/>
      <w:r>
        <w:rPr>
          <w:b w:val="0"/>
          <w:bCs w:val="0"/>
          <w:color w:val="000000"/>
          <w:sz w:val="20"/>
          <w:szCs w:val="20"/>
        </w:rPr>
        <w:t xml:space="preserve"> 15, </w:t>
      </w:r>
      <w:proofErr w:type="spellStart"/>
      <w:r>
        <w:rPr>
          <w:b w:val="0"/>
          <w:bCs w:val="0"/>
          <w:color w:val="000000"/>
          <w:sz w:val="20"/>
          <w:szCs w:val="20"/>
        </w:rPr>
        <w:t>кв</w:t>
      </w:r>
      <w:proofErr w:type="spellEnd"/>
      <w:r>
        <w:rPr>
          <w:b w:val="0"/>
          <w:bCs w:val="0"/>
          <w:color w:val="000000"/>
          <w:sz w:val="20"/>
          <w:szCs w:val="20"/>
        </w:rPr>
        <w:t xml:space="preserve"> 10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Паспортные данные: Серия – 6420, № 611234, место выдачи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ромышленным РОВД г. Смоленска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Региональный коэффициент    0,8-1.2</w:t>
      </w:r>
    </w:p>
    <w:p w:rsidR="00DA0967" w:rsidRDefault="00DA0967" w:rsidP="00DA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андеррайтерский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коэффициент– </w:t>
      </w:r>
      <w:r>
        <w:rPr>
          <w:rFonts w:ascii="Times New Roman" w:hAnsi="Times New Roman" w:cs="Times New Roman"/>
          <w:sz w:val="20"/>
          <w:szCs w:val="20"/>
        </w:rPr>
        <w:t>Диапазон применения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[0,6</w:t>
      </w:r>
      <w:r>
        <w:rPr>
          <w:rFonts w:ascii="Times New Roman" w:eastAsia="Times New Roman" w:hAnsi="Times New Roman" w:cs="Times New Roman"/>
          <w:sz w:val="20"/>
          <w:szCs w:val="20"/>
        </w:rPr>
        <w:t>-5,0]. Применяется для  корректировки региональных значений базовых тарифов для наиболее пр</w:t>
      </w:r>
      <w:r>
        <w:rPr>
          <w:rFonts w:ascii="Times New Roman" w:hAnsi="Times New Roman" w:cs="Times New Roman"/>
          <w:sz w:val="20"/>
          <w:szCs w:val="20"/>
        </w:rPr>
        <w:t>одаваемых на региональном рынке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марок/моделей ТС.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Примечание: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отсутствующие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в условии задания данные укажите по своему усмотрению</w:t>
      </w:r>
    </w:p>
    <w:p w:rsidR="00DA0967" w:rsidRDefault="00DA0967" w:rsidP="00DA09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0967" w:rsidRPr="00DA0967" w:rsidRDefault="00E85CE6" w:rsidP="00DA09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4255">
        <w:rPr>
          <w:rFonts w:ascii="Times New Roman" w:hAnsi="Times New Roman" w:cs="Times New Roman"/>
          <w:color w:val="000000"/>
          <w:sz w:val="24"/>
          <w:szCs w:val="24"/>
        </w:rPr>
        <w:t>При расчете страховой премии используйте Тарифное руководство.</w:t>
      </w:r>
      <w:r w:rsidR="00DA0967">
        <w:rPr>
          <w:rFonts w:ascii="Times New Roman" w:hAnsi="Times New Roman" w:cs="Times New Roman"/>
          <w:sz w:val="20"/>
          <w:szCs w:val="20"/>
        </w:rPr>
        <w:br w:type="page"/>
      </w:r>
      <w:r w:rsidR="00DA0967" w:rsidRPr="00DA09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A0967" w:rsidRPr="00DA0967">
        <w:rPr>
          <w:rFonts w:ascii="Times New Roman" w:hAnsi="Times New Roman" w:cs="Times New Roman"/>
          <w:b/>
          <w:color w:val="000000"/>
          <w:sz w:val="28"/>
          <w:szCs w:val="28"/>
        </w:rPr>
        <w:t>Тарифное Руководство к условиям страхования страхового продукта Авто «Защита»</w:t>
      </w:r>
    </w:p>
    <w:p w:rsidR="00DA0967" w:rsidRDefault="00DA0967" w:rsidP="00DA096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Табл. 1 Транспортные средства (ТС) иностранного производства (включая ТС совместного производства)</w:t>
      </w:r>
    </w:p>
    <w:p w:rsidR="00DA0967" w:rsidRDefault="00DA0967" w:rsidP="00DA09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tbl>
      <w:tblPr>
        <w:tblStyle w:val="a7"/>
        <w:tblW w:w="10095" w:type="dxa"/>
        <w:tblLayout w:type="fixed"/>
        <w:tblLook w:val="04A0"/>
      </w:tblPr>
      <w:tblGrid>
        <w:gridCol w:w="1306"/>
        <w:gridCol w:w="1276"/>
        <w:gridCol w:w="1559"/>
        <w:gridCol w:w="5954"/>
      </w:tblGrid>
      <w:tr w:rsidR="00DA0967" w:rsidTr="00DA0967">
        <w:trPr>
          <w:trHeight w:val="76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 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 4</w:t>
            </w:r>
          </w:p>
        </w:tc>
      </w:tr>
      <w:tr w:rsidR="00DA0967" w:rsidTr="00DA0967">
        <w:trPr>
          <w:trHeight w:val="478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ТС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ТС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ТС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Автобусы (с числом пассажирских мест не более 18) </w:t>
            </w:r>
          </w:p>
          <w:p w:rsidR="00DA0967" w:rsidRDefault="00DA0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Грузовые автомобили с разрешенной максимальной массой  до 5 т </w:t>
            </w:r>
          </w:p>
        </w:tc>
      </w:tr>
    </w:tbl>
    <w:p w:rsidR="00DA0967" w:rsidRDefault="00DA0967" w:rsidP="00DA0967">
      <w:pPr>
        <w:pStyle w:val="1"/>
        <w:rPr>
          <w:sz w:val="20"/>
          <w:szCs w:val="20"/>
        </w:rPr>
      </w:pPr>
    </w:p>
    <w:p w:rsidR="00DA0967" w:rsidRDefault="00DA0967" w:rsidP="00DA0967">
      <w:pPr>
        <w:pStyle w:val="1"/>
        <w:rPr>
          <w:sz w:val="20"/>
          <w:szCs w:val="20"/>
        </w:rPr>
      </w:pPr>
      <w:r>
        <w:rPr>
          <w:sz w:val="20"/>
          <w:szCs w:val="20"/>
        </w:rPr>
        <w:t>Таблица А. Базовые тарифы по страхованию транспортных средств</w:t>
      </w:r>
    </w:p>
    <w:tbl>
      <w:tblPr>
        <w:tblW w:w="5350" w:type="pct"/>
        <w:tblInd w:w="-7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ook w:val="04A0"/>
      </w:tblPr>
      <w:tblGrid>
        <w:gridCol w:w="518"/>
        <w:gridCol w:w="483"/>
        <w:gridCol w:w="495"/>
        <w:gridCol w:w="483"/>
        <w:gridCol w:w="495"/>
        <w:gridCol w:w="483"/>
        <w:gridCol w:w="496"/>
        <w:gridCol w:w="484"/>
        <w:gridCol w:w="496"/>
        <w:gridCol w:w="484"/>
        <w:gridCol w:w="496"/>
        <w:gridCol w:w="484"/>
        <w:gridCol w:w="496"/>
        <w:gridCol w:w="484"/>
        <w:gridCol w:w="496"/>
        <w:gridCol w:w="484"/>
        <w:gridCol w:w="496"/>
        <w:gridCol w:w="484"/>
        <w:gridCol w:w="496"/>
        <w:gridCol w:w="484"/>
        <w:gridCol w:w="496"/>
      </w:tblGrid>
      <w:tr w:rsidR="00DA0967" w:rsidTr="00DA0967">
        <w:trPr>
          <w:cantSplit/>
          <w:trHeight w:val="255"/>
        </w:trPr>
        <w:tc>
          <w:tcPr>
            <w:tcW w:w="329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</w:t>
            </w:r>
            <w:proofErr w:type="spellEnd"/>
          </w:p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 ТС*</w:t>
            </w:r>
          </w:p>
        </w:tc>
        <w:tc>
          <w:tcPr>
            <w:tcW w:w="4671" w:type="pct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Возраст транспортного средства, полных лет *</w:t>
            </w:r>
          </w:p>
        </w:tc>
      </w:tr>
      <w:tr w:rsidR="00DA0967" w:rsidTr="00DA0967">
        <w:trPr>
          <w:cantSplit/>
          <w:trHeight w:val="2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6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6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67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63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</w:tr>
      <w:tr w:rsidR="00DA0967" w:rsidTr="00DA0967">
        <w:trPr>
          <w:cantSplit/>
          <w:trHeight w:val="2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1" w:type="pct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Виды рисков</w:t>
            </w:r>
          </w:p>
        </w:tc>
      </w:tr>
      <w:tr w:rsidR="00DA0967" w:rsidTr="00DA0967">
        <w:trPr>
          <w:cantSplit/>
          <w:trHeight w:val="2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каско,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ущерб,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каско,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ущерб,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каско,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ущерб,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каско,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ущерб,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каско,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ущерб,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каско,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ущерб,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каско,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ущерб,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каско,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ущерб,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каско,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ущерб, %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каско, %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ущерб,    %</w:t>
            </w:r>
          </w:p>
        </w:tc>
      </w:tr>
      <w:tr w:rsidR="00DA0967" w:rsidTr="00DA0967">
        <w:trPr>
          <w:trHeight w:val="255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 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</w:tr>
      <w:tr w:rsidR="00DA0967" w:rsidTr="00DA0967">
        <w:trPr>
          <w:trHeight w:val="255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 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DA0967" w:rsidTr="00DA0967">
        <w:trPr>
          <w:trHeight w:val="255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 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</w:tr>
      <w:tr w:rsidR="00DA0967" w:rsidTr="00DA0967">
        <w:trPr>
          <w:trHeight w:val="255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 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</w:tr>
      <w:tr w:rsidR="00DA0967" w:rsidTr="00DA0967">
        <w:trPr>
          <w:trHeight w:val="255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 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7,8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</w:tr>
      <w:tr w:rsidR="00DA0967" w:rsidTr="00DA0967">
        <w:trPr>
          <w:trHeight w:val="227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 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</w:tr>
      <w:tr w:rsidR="00DA0967" w:rsidTr="00DA0967">
        <w:trPr>
          <w:trHeight w:val="255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 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</w:tr>
      <w:tr w:rsidR="00DA0967" w:rsidTr="00DA0967">
        <w:trPr>
          <w:trHeight w:val="255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 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</w:tr>
      <w:tr w:rsidR="00DA0967" w:rsidTr="00DA0967">
        <w:trPr>
          <w:trHeight w:val="255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 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7,1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DA0967" w:rsidTr="00DA0967">
        <w:trPr>
          <w:trHeight w:val="255"/>
        </w:trPr>
        <w:tc>
          <w:tcPr>
            <w:tcW w:w="3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 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234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5,6</w:t>
            </w:r>
          </w:p>
        </w:tc>
        <w:tc>
          <w:tcPr>
            <w:tcW w:w="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D9D9D9" w:fill="auto"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</w:tbl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*- Возраст ТС определяется путем вычитания из текущего года, года указанного как год выпуска автомашины в Паспорте Транспортного Средства (ПТС). </w:t>
      </w:r>
    </w:p>
    <w:p w:rsidR="00DA0967" w:rsidRDefault="00DA0967" w:rsidP="00DA0967">
      <w:pPr>
        <w:tabs>
          <w:tab w:val="left" w:pos="440"/>
          <w:tab w:val="right" w:leader="dot" w:pos="10915"/>
        </w:tabs>
        <w:spacing w:after="0" w:line="240" w:lineRule="auto"/>
        <w:rPr>
          <w:rStyle w:val="10"/>
          <w:rFonts w:eastAsiaTheme="minorEastAsia"/>
          <w:sz w:val="20"/>
          <w:szCs w:val="20"/>
          <w:u w:val="single"/>
        </w:rPr>
      </w:pPr>
    </w:p>
    <w:p w:rsidR="00DA0967" w:rsidRDefault="00DA0967" w:rsidP="00DA0967">
      <w:pPr>
        <w:tabs>
          <w:tab w:val="left" w:pos="440"/>
          <w:tab w:val="right" w:leader="dot" w:pos="10915"/>
        </w:tabs>
        <w:spacing w:after="0" w:line="240" w:lineRule="auto"/>
        <w:rPr>
          <w:rStyle w:val="10"/>
          <w:rFonts w:eastAsiaTheme="minorEastAsia"/>
          <w:sz w:val="20"/>
          <w:szCs w:val="20"/>
        </w:rPr>
      </w:pPr>
      <w:r>
        <w:rPr>
          <w:rStyle w:val="10"/>
          <w:rFonts w:eastAsiaTheme="minorEastAsia"/>
          <w:sz w:val="20"/>
          <w:szCs w:val="20"/>
        </w:rPr>
        <w:t>Табл. 2 Износ  транспортных сре</w:t>
      </w:r>
      <w:proofErr w:type="gramStart"/>
      <w:r>
        <w:rPr>
          <w:rStyle w:val="10"/>
          <w:rFonts w:eastAsiaTheme="minorEastAsia"/>
          <w:sz w:val="20"/>
          <w:szCs w:val="20"/>
        </w:rPr>
        <w:t>дств в з</w:t>
      </w:r>
      <w:proofErr w:type="gramEnd"/>
      <w:r>
        <w:rPr>
          <w:rStyle w:val="10"/>
          <w:rFonts w:eastAsiaTheme="minorEastAsia"/>
          <w:sz w:val="20"/>
          <w:szCs w:val="20"/>
        </w:rPr>
        <w:t xml:space="preserve">ависимости от возраста </w:t>
      </w:r>
      <w:r>
        <w:rPr>
          <w:rFonts w:ascii="Times New Roman" w:hAnsi="Times New Roman" w:cs="Times New Roman"/>
          <w:b/>
          <w:sz w:val="20"/>
          <w:szCs w:val="20"/>
        </w:rPr>
        <w:t>транспортного средства</w:t>
      </w:r>
    </w:p>
    <w:p w:rsidR="00DA0967" w:rsidRDefault="00DA0967" w:rsidP="00DA0967">
      <w:pPr>
        <w:spacing w:after="0" w:line="240" w:lineRule="auto"/>
      </w:pPr>
    </w:p>
    <w:tbl>
      <w:tblPr>
        <w:tblpPr w:leftFromText="180" w:rightFromText="180" w:bottomFromText="200" w:vertAnchor="text" w:horzAnchor="margin" w:tblpY="-52"/>
        <w:tblOverlap w:val="never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2" w:type="dxa"/>
          <w:right w:w="82" w:type="dxa"/>
        </w:tblCellMar>
        <w:tblLook w:val="04A0"/>
      </w:tblPr>
      <w:tblGrid>
        <w:gridCol w:w="3586"/>
        <w:gridCol w:w="468"/>
        <w:gridCol w:w="467"/>
        <w:gridCol w:w="582"/>
        <w:gridCol w:w="488"/>
        <w:gridCol w:w="463"/>
        <w:gridCol w:w="463"/>
        <w:gridCol w:w="463"/>
        <w:gridCol w:w="463"/>
        <w:gridCol w:w="463"/>
        <w:gridCol w:w="467"/>
        <w:gridCol w:w="467"/>
        <w:gridCol w:w="520"/>
      </w:tblGrid>
      <w:tr w:rsidR="00DA0967" w:rsidTr="00DA0967">
        <w:trPr>
          <w:cantSplit/>
          <w:trHeight w:val="525"/>
        </w:trPr>
        <w:tc>
          <w:tcPr>
            <w:tcW w:w="3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ТС</w:t>
            </w:r>
          </w:p>
        </w:tc>
        <w:tc>
          <w:tcPr>
            <w:tcW w:w="5773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транспортного средства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лет*</w:t>
            </w:r>
          </w:p>
        </w:tc>
      </w:tr>
      <w:tr w:rsidR="00DA0967" w:rsidTr="00DA0967">
        <w:trPr>
          <w:cantSplit/>
          <w:trHeight w:val="260"/>
        </w:trPr>
        <w:tc>
          <w:tcPr>
            <w:tcW w:w="358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0967" w:rsidTr="00DA0967">
        <w:trPr>
          <w:cantSplit/>
        </w:trPr>
        <w:tc>
          <w:tcPr>
            <w:tcW w:w="358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Износ, %</w:t>
            </w:r>
          </w:p>
        </w:tc>
      </w:tr>
      <w:tr w:rsidR="00DA0967" w:rsidTr="00DA0967">
        <w:trPr>
          <w:cantSplit/>
        </w:trPr>
        <w:tc>
          <w:tcPr>
            <w:tcW w:w="3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Легковые ТС  отечественного и иностранного производства,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A0967" w:rsidTr="00DA0967">
        <w:trPr>
          <w:cantSplit/>
        </w:trPr>
        <w:tc>
          <w:tcPr>
            <w:tcW w:w="35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Автобусы, грузовые ТС отечественного и иностранного производства, спецтехника (в т. ч., тракторы и сельхозтехника), прицепы.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pStyle w:val="a3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</w:tbl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  <w:bookmarkStart w:id="0" w:name="_Toc208378616"/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108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Pr="00DA0967" w:rsidRDefault="00DA0967" w:rsidP="00DA0967">
      <w:pPr>
        <w:tabs>
          <w:tab w:val="num" w:pos="600"/>
        </w:tabs>
        <w:spacing w:after="0" w:line="240" w:lineRule="auto"/>
        <w:jc w:val="both"/>
        <w:outlineLvl w:val="0"/>
        <w:rPr>
          <w:rStyle w:val="10"/>
          <w:rFonts w:eastAsiaTheme="minorEastAsia"/>
          <w:b/>
          <w:sz w:val="24"/>
        </w:rPr>
      </w:pPr>
      <w:r w:rsidRPr="00DA0967">
        <w:rPr>
          <w:rStyle w:val="10"/>
          <w:rFonts w:eastAsiaTheme="minorEastAsia"/>
          <w:b/>
          <w:sz w:val="24"/>
        </w:rPr>
        <w:lastRenderedPageBreak/>
        <w:t>Поправочные Коэффициенты к базовым тарифам и порядок применения.</w:t>
      </w:r>
      <w:bookmarkEnd w:id="0"/>
    </w:p>
    <w:p w:rsidR="00DA0967" w:rsidRDefault="00DA0967" w:rsidP="00DA096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Обозначения используемых коэффициентов: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коэффициент по возрасту и стажу водителей, допущенных к управлению ТС,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proofErr w:type="gramStart"/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коэффициент по количеству застрахованных ТС,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К3 – коэффициент в зависимости от срока страхования ТС,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proofErr w:type="gramStart"/>
      <w:r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коэффициент, учитывающий наличие безусловной франшизы в договоре страхования ТС,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К5 – коэффициент, отражающий количество заявленных убытков по предыдущему договору страхования</w:t>
      </w:r>
    </w:p>
    <w:p w:rsidR="00DA0967" w:rsidRDefault="00DA0967" w:rsidP="00DA0967">
      <w:pPr>
        <w:spacing w:after="0" w:line="240" w:lineRule="auto"/>
        <w:jc w:val="both"/>
        <w:rPr>
          <w:rStyle w:val="10"/>
          <w:rFonts w:eastAsiaTheme="minorEastAsia"/>
          <w:sz w:val="20"/>
          <w:szCs w:val="20"/>
        </w:rPr>
      </w:pPr>
      <w:r>
        <w:rPr>
          <w:rStyle w:val="10"/>
          <w:rFonts w:eastAsiaTheme="minorEastAsia"/>
          <w:sz w:val="20"/>
          <w:szCs w:val="20"/>
        </w:rPr>
        <w:t>К</w:t>
      </w:r>
      <w:proofErr w:type="gramStart"/>
      <w:r>
        <w:rPr>
          <w:rStyle w:val="10"/>
          <w:rFonts w:eastAsiaTheme="minorEastAsia"/>
          <w:sz w:val="20"/>
          <w:szCs w:val="20"/>
        </w:rPr>
        <w:t>6</w:t>
      </w:r>
      <w:proofErr w:type="gramEnd"/>
      <w:r>
        <w:rPr>
          <w:rStyle w:val="10"/>
          <w:rFonts w:eastAsiaTheme="minorEastAsia"/>
          <w:sz w:val="20"/>
          <w:szCs w:val="20"/>
        </w:rPr>
        <w:t xml:space="preserve"> - Коэффициент, учитывающий способ возмещения ущерба, применяется только при страховании по  рискам «КАСКО», «ущерб». </w:t>
      </w:r>
    </w:p>
    <w:p w:rsidR="00DA0967" w:rsidRDefault="00DA0967" w:rsidP="00DA0967">
      <w:pPr>
        <w:spacing w:after="0" w:line="240" w:lineRule="auto"/>
        <w:jc w:val="both"/>
        <w:rPr>
          <w:rStyle w:val="10"/>
          <w:rFonts w:eastAsiaTheme="minorEastAsia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Крс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коэффициент по способу оплаты страховой премии (рассрочка)</w:t>
      </w:r>
    </w:p>
    <w:p w:rsidR="00DA0967" w:rsidRDefault="00DA0967" w:rsidP="00DA0967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0"/>
          <w:szCs w:val="20"/>
        </w:rPr>
        <w:t>Кр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региональный коэффициент, </w:t>
      </w:r>
    </w:p>
    <w:p w:rsidR="00DA0967" w:rsidRDefault="00DA0967" w:rsidP="00DA0967">
      <w:pPr>
        <w:spacing w:after="0" w:line="240" w:lineRule="auto"/>
        <w:rPr>
          <w:rStyle w:val="10"/>
          <w:rFonts w:eastAsiaTheme="minorEastAsia"/>
          <w:sz w:val="20"/>
          <w:szCs w:val="20"/>
        </w:rPr>
      </w:pPr>
      <w:bookmarkStart w:id="1" w:name="_Toc208378633"/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андеррайтерский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коэффициент</w:t>
      </w:r>
    </w:p>
    <w:p w:rsidR="00DA0967" w:rsidRDefault="00DA0967" w:rsidP="00DA0967">
      <w:pPr>
        <w:tabs>
          <w:tab w:val="num" w:pos="600"/>
          <w:tab w:val="num" w:pos="72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</w:p>
    <w:p w:rsidR="00DA0967" w:rsidRDefault="00DA0967" w:rsidP="00DA0967">
      <w:pPr>
        <w:tabs>
          <w:tab w:val="num" w:pos="600"/>
          <w:tab w:val="num" w:pos="720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  <w:r>
        <w:rPr>
          <w:rStyle w:val="10"/>
          <w:rFonts w:eastAsiaTheme="minorEastAsia"/>
          <w:sz w:val="20"/>
          <w:szCs w:val="20"/>
        </w:rPr>
        <w:t xml:space="preserve">Таблица 3. Коэффициент по возрасту и стажу** водителей, допущенных к управлению ТС, </w:t>
      </w:r>
      <w:bookmarkEnd w:id="1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16"/>
        <w:gridCol w:w="3327"/>
        <w:gridCol w:w="1439"/>
        <w:gridCol w:w="1439"/>
        <w:gridCol w:w="1533"/>
        <w:gridCol w:w="1008"/>
      </w:tblGrid>
      <w:tr w:rsidR="00DA0967" w:rsidTr="00DA0967">
        <w:trPr>
          <w:cantSplit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Возраст водителя, полных лет</w:t>
            </w:r>
          </w:p>
        </w:tc>
        <w:tc>
          <w:tcPr>
            <w:tcW w:w="54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Стаж вождения, полных лет </w:t>
            </w:r>
          </w:p>
        </w:tc>
      </w:tr>
      <w:tr w:rsidR="00DA0967" w:rsidTr="00DA0967">
        <w:trPr>
          <w:cantSplit/>
          <w:trHeight w:val="1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 2 включительно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 3 до 5 включительно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 6 до 10 включительно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Более 10</w:t>
            </w:r>
          </w:p>
        </w:tc>
      </w:tr>
      <w:tr w:rsidR="00DA0967" w:rsidTr="00DA096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 22  включительно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A0967" w:rsidTr="00DA096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 23 до 25 включительно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A0967" w:rsidTr="00DA0967">
        <w:trPr>
          <w:cantSplit/>
          <w:trHeight w:val="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 26 до 30 включительно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</w:tr>
      <w:tr w:rsidR="00DA0967" w:rsidTr="00DA0967">
        <w:trPr>
          <w:cantSplit/>
          <w:trHeight w:val="27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 31 до 35 включительно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DA0967" w:rsidTr="00DA0967">
        <w:trPr>
          <w:cantSplit/>
          <w:trHeight w:val="27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 36 до 50 включительно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DA0967" w:rsidTr="00DA0967">
        <w:trPr>
          <w:cantSplit/>
          <w:trHeight w:val="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 51 до 60 включительно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</w:tr>
      <w:tr w:rsidR="00DA0967" w:rsidTr="00DA0967">
        <w:trPr>
          <w:cantSplit/>
          <w:trHeight w:val="27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3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Свыше 60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</w:tbl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**Стаж вождения подтверждается документально.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DA0967" w:rsidRDefault="00DA0967" w:rsidP="00DA0967">
      <w:pPr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  <w:bookmarkStart w:id="2" w:name="_Toc208378618"/>
      <w:r>
        <w:rPr>
          <w:rStyle w:val="10"/>
          <w:rFonts w:eastAsiaTheme="minorEastAsia"/>
          <w:sz w:val="20"/>
          <w:szCs w:val="20"/>
        </w:rPr>
        <w:t xml:space="preserve">Таблица 4 . Коэффициент по количеству </w:t>
      </w:r>
      <w:proofErr w:type="gramStart"/>
      <w:r>
        <w:rPr>
          <w:rStyle w:val="10"/>
          <w:rFonts w:eastAsiaTheme="minorEastAsia"/>
          <w:sz w:val="20"/>
          <w:szCs w:val="20"/>
        </w:rPr>
        <w:t>застрахованных</w:t>
      </w:r>
      <w:proofErr w:type="gramEnd"/>
      <w:r>
        <w:rPr>
          <w:rStyle w:val="10"/>
          <w:rFonts w:eastAsiaTheme="minorEastAsia"/>
          <w:sz w:val="20"/>
          <w:szCs w:val="20"/>
        </w:rPr>
        <w:t xml:space="preserve"> ТС, применяется при страховании ТС </w:t>
      </w:r>
      <w:bookmarkEnd w:id="2"/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670"/>
        <w:gridCol w:w="2128"/>
        <w:gridCol w:w="2127"/>
        <w:gridCol w:w="2269"/>
      </w:tblGrid>
      <w:tr w:rsidR="00DA0967" w:rsidTr="00DA0967">
        <w:trPr>
          <w:cantSplit/>
          <w:trHeight w:val="93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8190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застрахованных транспортных средств</w:t>
            </w:r>
          </w:p>
        </w:tc>
      </w:tr>
      <w:tr w:rsidR="00DA0967" w:rsidTr="00DA0967">
        <w:trPr>
          <w:cantSplit/>
          <w:trHeight w:val="93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10-24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и более</w:t>
            </w:r>
          </w:p>
        </w:tc>
      </w:tr>
      <w:tr w:rsidR="00DA0967" w:rsidTr="00DA0967">
        <w:trPr>
          <w:cantSplit/>
          <w:trHeight w:val="2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</w:tbl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0967" w:rsidRDefault="00DA0967" w:rsidP="00DA0967">
      <w:pPr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  <w:bookmarkStart w:id="3" w:name="_Toc208378619"/>
    </w:p>
    <w:p w:rsidR="00DA0967" w:rsidRDefault="00DA0967" w:rsidP="00DA0967">
      <w:pPr>
        <w:spacing w:after="0" w:line="240" w:lineRule="auto"/>
        <w:jc w:val="both"/>
        <w:outlineLvl w:val="0"/>
      </w:pPr>
      <w:r>
        <w:rPr>
          <w:rStyle w:val="10"/>
          <w:rFonts w:eastAsiaTheme="minorEastAsia"/>
          <w:sz w:val="20"/>
          <w:szCs w:val="20"/>
        </w:rPr>
        <w:t>Таблица 5. Коэффициент в зависимости от срока страхования</w:t>
      </w:r>
      <w:bookmarkEnd w:id="3"/>
    </w:p>
    <w:tbl>
      <w:tblPr>
        <w:tblpPr w:leftFromText="180" w:rightFromText="180" w:bottomFromText="200" w:vertAnchor="text" w:horzAnchor="margin" w:tblpY="83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851"/>
        <w:gridCol w:w="850"/>
        <w:gridCol w:w="1134"/>
        <w:gridCol w:w="1560"/>
        <w:gridCol w:w="1701"/>
        <w:gridCol w:w="1701"/>
        <w:gridCol w:w="1383"/>
      </w:tblGrid>
      <w:tr w:rsidR="00DA0967" w:rsidTr="00DA0967">
        <w:trPr>
          <w:cantSplit/>
          <w:trHeight w:val="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К3</w:t>
            </w:r>
          </w:p>
        </w:tc>
        <w:tc>
          <w:tcPr>
            <w:tcW w:w="8329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Срок страхования</w:t>
            </w:r>
          </w:p>
        </w:tc>
      </w:tr>
      <w:tr w:rsidR="00DA0967" w:rsidTr="00DA0967">
        <w:trPr>
          <w:cantSplit/>
          <w:trHeight w:val="8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7 мес.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8 мес.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9 мес.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мес.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– 12 мес.</w:t>
            </w:r>
          </w:p>
        </w:tc>
      </w:tr>
      <w:tr w:rsidR="00DA0967" w:rsidTr="00DA0967">
        <w:trPr>
          <w:cantSplit/>
          <w:trHeight w:val="71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DA0967" w:rsidRDefault="00DA0967" w:rsidP="00DA0967">
      <w:pPr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  <w:bookmarkStart w:id="4" w:name="_Toc208378620"/>
    </w:p>
    <w:p w:rsidR="00DA0967" w:rsidRDefault="00DA0967" w:rsidP="00DA0967">
      <w:pPr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  <w:r>
        <w:rPr>
          <w:rStyle w:val="10"/>
          <w:rFonts w:eastAsiaTheme="minorEastAsia"/>
          <w:sz w:val="20"/>
          <w:szCs w:val="20"/>
        </w:rPr>
        <w:t>Таблица 6. Коэффициент, учитывающий наличие безусловной франшизы в договоре страхования.</w:t>
      </w:r>
      <w:bookmarkEnd w:id="4"/>
      <w:r>
        <w:rPr>
          <w:rStyle w:val="10"/>
          <w:rFonts w:eastAsiaTheme="minorEastAsia"/>
          <w:sz w:val="20"/>
          <w:szCs w:val="20"/>
        </w:rPr>
        <w:t xml:space="preserve">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76"/>
        <w:gridCol w:w="710"/>
        <w:gridCol w:w="992"/>
        <w:gridCol w:w="992"/>
        <w:gridCol w:w="992"/>
        <w:gridCol w:w="1134"/>
        <w:gridCol w:w="851"/>
        <w:gridCol w:w="850"/>
        <w:gridCol w:w="993"/>
        <w:gridCol w:w="708"/>
      </w:tblGrid>
      <w:tr w:rsidR="00DA0967" w:rsidTr="00DA0967">
        <w:trPr>
          <w:cantSplit/>
          <w:trHeight w:val="31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A0967" w:rsidRDefault="00DA0967">
            <w:pPr>
              <w:shd w:val="clear" w:color="auto" w:fill="F2F2F2"/>
              <w:tabs>
                <w:tab w:val="left" w:pos="2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889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Величина франшизы (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 от страховой суммы)</w:t>
            </w:r>
          </w:p>
        </w:tc>
      </w:tr>
      <w:tr w:rsidR="00DA0967" w:rsidTr="00DA0967">
        <w:trPr>
          <w:cantSplit/>
          <w:trHeight w:val="31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</w:tr>
      <w:tr w:rsidR="00DA0967" w:rsidTr="00DA0967">
        <w:trPr>
          <w:cantSplit/>
          <w:trHeight w:val="31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</w:tbl>
    <w:p w:rsidR="00DA0967" w:rsidRDefault="00DA0967" w:rsidP="00DA0967">
      <w:pPr>
        <w:spacing w:after="0" w:line="240" w:lineRule="auto"/>
        <w:jc w:val="right"/>
        <w:rPr>
          <w:rStyle w:val="10"/>
          <w:rFonts w:eastAsiaTheme="minorEastAsia"/>
          <w:b/>
          <w:bCs/>
          <w:sz w:val="20"/>
          <w:szCs w:val="20"/>
        </w:rPr>
      </w:pPr>
      <w:r>
        <w:rPr>
          <w:rStyle w:val="10"/>
          <w:rFonts w:eastAsiaTheme="minorEastAsia"/>
          <w:sz w:val="20"/>
          <w:szCs w:val="20"/>
        </w:rPr>
        <w:t xml:space="preserve"> </w:t>
      </w:r>
    </w:p>
    <w:p w:rsidR="00DA0967" w:rsidRDefault="00DA0967" w:rsidP="00DA0967">
      <w:pPr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  <w:bookmarkStart w:id="5" w:name="_Toc208378621"/>
      <w:r>
        <w:rPr>
          <w:rStyle w:val="10"/>
          <w:rFonts w:eastAsiaTheme="minorEastAsia"/>
          <w:sz w:val="20"/>
          <w:szCs w:val="20"/>
        </w:rPr>
        <w:t>Таблица 7. Коэффициент, отражающий количество заявленных убытков по предыдущему договору страхования</w:t>
      </w:r>
      <w:bookmarkEnd w:id="5"/>
      <w:r>
        <w:rPr>
          <w:rStyle w:val="10"/>
          <w:rFonts w:eastAsiaTheme="minorEastAsia"/>
          <w:sz w:val="20"/>
          <w:szCs w:val="20"/>
        </w:rPr>
        <w:t xml:space="preserve"> (признак страхования)</w:t>
      </w:r>
    </w:p>
    <w:p w:rsidR="00DA0967" w:rsidRDefault="00DA0967" w:rsidP="00DA0967">
      <w:pPr>
        <w:spacing w:after="0" w:line="240" w:lineRule="auto"/>
        <w:jc w:val="right"/>
        <w:rPr>
          <w:b/>
          <w:bCs/>
        </w:rPr>
      </w:pPr>
    </w:p>
    <w:tbl>
      <w:tblPr>
        <w:tblpPr w:leftFromText="180" w:rightFromText="180" w:bottomFromText="200" w:vertAnchor="text" w:horzAnchor="margin" w:tblpXSpec="center" w:tblpY="-1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5438"/>
        <w:gridCol w:w="3971"/>
      </w:tblGrid>
      <w:tr w:rsidR="00DA0967" w:rsidTr="00DA0967">
        <w:trPr>
          <w:cantSplit/>
          <w:trHeight w:val="274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К5</w:t>
            </w:r>
          </w:p>
        </w:tc>
        <w:tc>
          <w:tcPr>
            <w:tcW w:w="5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Возобновление договора (без изменения его параметров)*</w:t>
            </w:r>
          </w:p>
        </w:tc>
      </w:tr>
      <w:tr w:rsidR="00DA0967" w:rsidTr="00DA0967">
        <w:trPr>
          <w:cantSplit/>
          <w:trHeight w:val="274"/>
        </w:trPr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Первоначально заключенный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A0967" w:rsidTr="00DA0967">
        <w:trPr>
          <w:cantSplit/>
          <w:trHeight w:val="274"/>
        </w:trPr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Безубыточное страхование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</w:tr>
      <w:tr w:rsidR="00DA0967" w:rsidTr="00DA0967">
        <w:trPr>
          <w:cantSplit/>
          <w:trHeight w:val="274"/>
        </w:trPr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3.1. Один заявленный убыток по предыдущему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DA0967" w:rsidTr="00DA0967">
        <w:trPr>
          <w:cantSplit/>
          <w:trHeight w:val="274"/>
        </w:trPr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tabs>
                <w:tab w:val="left" w:pos="2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3.2. Два заявленных  убытка по предыдущему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tabs>
                <w:tab w:val="left" w:pos="2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A0967" w:rsidTr="00DA0967">
        <w:trPr>
          <w:cantSplit/>
          <w:trHeight w:val="274"/>
        </w:trPr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tabs>
                <w:tab w:val="left" w:pos="2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3.3. Три заявленных  убытка по предыдущему договору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tabs>
                <w:tab w:val="left" w:pos="2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DA0967" w:rsidTr="00DA0967">
        <w:trPr>
          <w:cantSplit/>
          <w:trHeight w:val="274"/>
        </w:trPr>
        <w:tc>
          <w:tcPr>
            <w:tcW w:w="6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tabs>
                <w:tab w:val="left" w:pos="2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3.4.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Четыре и более заявленных убытков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предыдущему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3,0. Договор возобновляется на очередной срок только по согласованию с уполномоченным сотрудником регионального подразделения, выполняющим функции андеррайтера, имеющим соответствующие полномочия.</w:t>
            </w:r>
          </w:p>
        </w:tc>
      </w:tr>
    </w:tbl>
    <w:p w:rsidR="00DA0967" w:rsidRDefault="00DA0967" w:rsidP="00DA0967">
      <w:pPr>
        <w:spacing w:after="0" w:line="240" w:lineRule="auto"/>
        <w:jc w:val="both"/>
        <w:rPr>
          <w:rStyle w:val="10"/>
          <w:rFonts w:eastAsiaTheme="minorEastAsia"/>
          <w:sz w:val="20"/>
          <w:szCs w:val="20"/>
        </w:rPr>
      </w:pPr>
      <w:bookmarkStart w:id="6" w:name="_Toc208378623"/>
      <w:r>
        <w:rPr>
          <w:rStyle w:val="10"/>
          <w:rFonts w:eastAsiaTheme="minorEastAsia"/>
          <w:sz w:val="20"/>
          <w:szCs w:val="20"/>
        </w:rPr>
        <w:t>Таблица 8..Коэффициент, учитывающий способ возмещения ущерба, применяется только при страховании по Варианту «А» к рискам «КАСКО», «ущерб».</w:t>
      </w:r>
      <w:bookmarkEnd w:id="6"/>
      <w:r>
        <w:rPr>
          <w:rStyle w:val="10"/>
          <w:rFonts w:eastAsiaTheme="minorEastAsia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142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2878"/>
        <w:gridCol w:w="2530"/>
        <w:gridCol w:w="3400"/>
      </w:tblGrid>
      <w:tr w:rsidR="00DA0967" w:rsidTr="00DA0967">
        <w:trPr>
          <w:cantSplit/>
          <w:trHeight w:val="146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возмещения ущерба ТС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Возраст ТС &lt; 1 года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ТС - 1 год и более</w:t>
            </w:r>
          </w:p>
        </w:tc>
      </w:tr>
      <w:tr w:rsidR="00DA0967" w:rsidTr="00DA0967">
        <w:trPr>
          <w:cantSplit/>
          <w:trHeight w:val="1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на СТОА Страховщика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A0967" w:rsidTr="00DA0967">
        <w:trPr>
          <w:cantSplit/>
          <w:trHeight w:val="107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на СТОА Страхователя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</w:tbl>
    <w:p w:rsidR="00DA0967" w:rsidRDefault="00DA0967" w:rsidP="00DA0967">
      <w:pPr>
        <w:spacing w:after="0" w:line="240" w:lineRule="auto"/>
        <w:rPr>
          <w:rStyle w:val="10"/>
          <w:rFonts w:eastAsiaTheme="minorEastAsia"/>
          <w:sz w:val="20"/>
          <w:szCs w:val="20"/>
        </w:rPr>
      </w:pPr>
      <w:bookmarkStart w:id="7" w:name="_Toc208378624"/>
      <w:proofErr w:type="gramStart"/>
      <w:r>
        <w:rPr>
          <w:rStyle w:val="10"/>
          <w:rFonts w:eastAsiaTheme="minorEastAsia"/>
          <w:sz w:val="20"/>
          <w:szCs w:val="20"/>
        </w:rPr>
        <w:t>Таблица 9.К</w:t>
      </w:r>
      <w:r>
        <w:rPr>
          <w:rFonts w:ascii="Times New Roman" w:hAnsi="Times New Roman" w:cs="Times New Roman"/>
          <w:sz w:val="20"/>
          <w:szCs w:val="20"/>
        </w:rPr>
        <w:t>оэффициент по способу оплаты страховой премии (рассрочка</w:t>
      </w:r>
      <w:proofErr w:type="gramEnd"/>
    </w:p>
    <w:tbl>
      <w:tblPr>
        <w:tblpPr w:leftFromText="180" w:rightFromText="180" w:bottomFromText="200" w:vertAnchor="text" w:horzAnchor="margin" w:tblpY="142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6542"/>
        <w:gridCol w:w="2266"/>
      </w:tblGrid>
      <w:tr w:rsidR="00DA0967" w:rsidTr="00DA0967">
        <w:trPr>
          <w:cantSplit/>
          <w:trHeight w:val="146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Крс</w:t>
            </w:r>
            <w:proofErr w:type="spellEnd"/>
          </w:p>
        </w:tc>
        <w:tc>
          <w:tcPr>
            <w:tcW w:w="6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оплата страхового взноса 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DA0967" w:rsidTr="00DA0967">
        <w:trPr>
          <w:cantSplit/>
          <w:trHeight w:val="180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Рассрочка 2 взноса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DA0967" w:rsidTr="00DA0967">
        <w:trPr>
          <w:cantSplit/>
          <w:trHeight w:val="107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Рассрочка 3 взноса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0967" w:rsidRDefault="00DA0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</w:tr>
    </w:tbl>
    <w:p w:rsidR="00DA0967" w:rsidRDefault="00DA0967" w:rsidP="00DA0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10"/>
          <w:rFonts w:eastAsiaTheme="minorEastAsia"/>
          <w:sz w:val="20"/>
          <w:szCs w:val="20"/>
        </w:rPr>
        <w:t>Региональный коэффициент.</w:t>
      </w:r>
      <w:bookmarkEnd w:id="7"/>
      <w:r>
        <w:rPr>
          <w:rStyle w:val="10"/>
          <w:rFonts w:eastAsiaTheme="minor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Диапазон применения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[0,66-2,0].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Значение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устанавливается Департаментом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автострахования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0967" w:rsidRDefault="00DA0967" w:rsidP="00DA0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андеррайтерский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коэффициент– </w:t>
      </w:r>
      <w:r>
        <w:rPr>
          <w:rFonts w:ascii="Times New Roman" w:hAnsi="Times New Roman" w:cs="Times New Roman"/>
          <w:sz w:val="20"/>
          <w:szCs w:val="20"/>
        </w:rPr>
        <w:t>Диапазон применения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[0,75</w:t>
      </w:r>
      <w:r>
        <w:rPr>
          <w:rFonts w:ascii="Times New Roman" w:eastAsia="Times New Roman" w:hAnsi="Times New Roman" w:cs="Times New Roman"/>
          <w:sz w:val="20"/>
          <w:szCs w:val="20"/>
        </w:rPr>
        <w:t>-5,0].</w:t>
      </w:r>
    </w:p>
    <w:p w:rsidR="00DA0967" w:rsidRDefault="00DA0967" w:rsidP="00DA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Значение Кар устанавливается Департаментом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автострахования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рименяется для корректировки региональных значений базовых тарифов для наиболее пр</w:t>
      </w:r>
      <w:r>
        <w:rPr>
          <w:rFonts w:ascii="Times New Roman" w:hAnsi="Times New Roman" w:cs="Times New Roman"/>
          <w:sz w:val="20"/>
          <w:szCs w:val="20"/>
        </w:rPr>
        <w:t>одаваемых на региональном рынке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марок/моделей ТС.</w:t>
      </w:r>
    </w:p>
    <w:p w:rsidR="00DA0967" w:rsidRDefault="00DA0967" w:rsidP="00DA0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Утвержденные значения коэффициента Кар являются обязательными к применению.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967" w:rsidRDefault="00DA0967" w:rsidP="00DA0967">
      <w:pPr>
        <w:tabs>
          <w:tab w:val="num" w:pos="1545"/>
        </w:tabs>
        <w:spacing w:after="0" w:line="240" w:lineRule="auto"/>
        <w:jc w:val="both"/>
        <w:outlineLvl w:val="0"/>
        <w:rPr>
          <w:rStyle w:val="10"/>
          <w:rFonts w:eastAsiaTheme="minorEastAsia"/>
          <w:sz w:val="20"/>
          <w:szCs w:val="20"/>
        </w:rPr>
      </w:pPr>
      <w:bookmarkStart w:id="8" w:name="_Toc50289219"/>
      <w:bookmarkStart w:id="9" w:name="_Toc208378629"/>
      <w:r>
        <w:rPr>
          <w:rStyle w:val="10"/>
          <w:rFonts w:eastAsiaTheme="minorEastAsia"/>
          <w:sz w:val="20"/>
          <w:szCs w:val="20"/>
        </w:rPr>
        <w:t>Дополнительное оборудование транспортного средства</w:t>
      </w:r>
      <w:bookmarkEnd w:id="8"/>
      <w:r>
        <w:rPr>
          <w:rStyle w:val="10"/>
          <w:rFonts w:eastAsiaTheme="minorEastAsia"/>
          <w:sz w:val="20"/>
          <w:szCs w:val="20"/>
        </w:rPr>
        <w:t>.</w:t>
      </w:r>
      <w:bookmarkEnd w:id="9"/>
    </w:p>
    <w:p w:rsidR="00DA0967" w:rsidRDefault="00DA0967" w:rsidP="00DA096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Дополнительное оборудование страхуется по тем же рискам, что и ТС, на котором оно установлено. </w:t>
      </w:r>
    </w:p>
    <w:p w:rsidR="00DA0967" w:rsidRDefault="00DA0967" w:rsidP="00DA09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производится по тому же тарифу, что и ТС, на котором оно установлено.</w:t>
      </w:r>
    </w:p>
    <w:p w:rsidR="00DA0967" w:rsidRDefault="00DA0967" w:rsidP="00DA09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A0967" w:rsidRDefault="00DA0967" w:rsidP="00DA09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A0967" w:rsidRDefault="00DA0967" w:rsidP="00DA09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DA0967" w:rsidRDefault="00DA0967" w:rsidP="00DA09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Расчет страховой премии</w:t>
      </w:r>
    </w:p>
    <w:tbl>
      <w:tblPr>
        <w:tblStyle w:val="a7"/>
        <w:tblW w:w="9750" w:type="dxa"/>
        <w:tblLayout w:type="fixed"/>
        <w:tblLook w:val="04A0"/>
      </w:tblPr>
      <w:tblGrid>
        <w:gridCol w:w="818"/>
        <w:gridCol w:w="1622"/>
        <w:gridCol w:w="1499"/>
        <w:gridCol w:w="667"/>
        <w:gridCol w:w="670"/>
        <w:gridCol w:w="46"/>
        <w:gridCol w:w="606"/>
        <w:gridCol w:w="214"/>
        <w:gridCol w:w="632"/>
        <w:gridCol w:w="850"/>
        <w:gridCol w:w="567"/>
        <w:gridCol w:w="1559"/>
      </w:tblGrid>
      <w:tr w:rsidR="00DA0967" w:rsidTr="003713D9">
        <w:trPr>
          <w:trHeight w:val="255"/>
        </w:trPr>
        <w:tc>
          <w:tcPr>
            <w:tcW w:w="974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Поправочные коэффициенты</w:t>
            </w:r>
          </w:p>
        </w:tc>
      </w:tr>
      <w:tr w:rsidR="00DA0967" w:rsidTr="003713D9">
        <w:trPr>
          <w:trHeight w:val="358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Обозн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коэффициента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Применимость и значение коэффициентов</w:t>
            </w:r>
          </w:p>
        </w:tc>
      </w:tr>
      <w:tr w:rsidR="00DA0967" w:rsidTr="003713D9">
        <w:trPr>
          <w:trHeight w:val="8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8" w:type="dxa"/>
            <w:gridSpan w:val="8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Ущерб</w:t>
            </w:r>
          </w:p>
        </w:tc>
      </w:tr>
      <w:tr w:rsidR="00DA0967" w:rsidTr="003713D9">
        <w:trPr>
          <w:trHeight w:val="2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967" w:rsidTr="003713D9">
        <w:trPr>
          <w:trHeight w:val="2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0967" w:rsidTr="003713D9">
        <w:trPr>
          <w:trHeight w:val="12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0967" w:rsidTr="003713D9">
        <w:trPr>
          <w:trHeight w:val="19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0967" w:rsidTr="003713D9">
        <w:trPr>
          <w:trHeight w:val="1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0967" w:rsidTr="003713D9">
        <w:trPr>
          <w:trHeight w:val="1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967" w:rsidTr="003713D9">
        <w:trPr>
          <w:trHeight w:val="1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967" w:rsidTr="003713D9">
        <w:trPr>
          <w:trHeight w:val="1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0967" w:rsidTr="003713D9">
        <w:trPr>
          <w:trHeight w:val="1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∑</w:t>
            </w:r>
          </w:p>
        </w:tc>
        <w:tc>
          <w:tcPr>
            <w:tcW w:w="59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Общий поправочный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A0967" w:rsidTr="003713D9">
        <w:trPr>
          <w:trHeight w:val="180"/>
        </w:trPr>
        <w:tc>
          <w:tcPr>
            <w:tcW w:w="974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Таблица расчета страховой премии</w:t>
            </w:r>
          </w:p>
        </w:tc>
      </w:tr>
      <w:tr w:rsidR="00DA0967" w:rsidTr="003713D9">
        <w:trPr>
          <w:trHeight w:val="267"/>
        </w:trPr>
        <w:tc>
          <w:tcPr>
            <w:tcW w:w="46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Действительная стоимость ТС, руб.</w:t>
            </w:r>
          </w:p>
        </w:tc>
        <w:tc>
          <w:tcPr>
            <w:tcW w:w="1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 пропорции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A0967" w:rsidTr="003713D9">
        <w:trPr>
          <w:trHeight w:val="372"/>
        </w:trPr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Страховой риск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Страховая сумма, руб.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тариф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∑</w:t>
            </w:r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  тариф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Страховая премия (руб.)</w:t>
            </w:r>
          </w:p>
        </w:tc>
      </w:tr>
      <w:tr w:rsidR="00DA0967" w:rsidTr="003713D9">
        <w:trPr>
          <w:trHeight w:val="255"/>
        </w:trPr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КАСКО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A0967" w:rsidTr="003713D9">
        <w:trPr>
          <w:trHeight w:val="255"/>
        </w:trPr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Ущерб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967" w:rsidTr="003713D9">
        <w:trPr>
          <w:trHeight w:val="270"/>
        </w:trPr>
        <w:tc>
          <w:tcPr>
            <w:tcW w:w="762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 премия по договору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967" w:rsidTr="003713D9">
        <w:trPr>
          <w:trHeight w:val="138"/>
        </w:trPr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продажи</w:t>
            </w:r>
          </w:p>
        </w:tc>
        <w:tc>
          <w:tcPr>
            <w:tcW w:w="73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0967" w:rsidRDefault="00DA0967" w:rsidP="003713D9">
            <w:pPr>
              <w:rPr>
                <w:sz w:val="16"/>
                <w:szCs w:val="16"/>
              </w:rPr>
            </w:pPr>
          </w:p>
        </w:tc>
      </w:tr>
      <w:tr w:rsidR="00DA0967" w:rsidTr="003713D9">
        <w:trPr>
          <w:trHeight w:val="255"/>
        </w:trPr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Канал продаж</w:t>
            </w:r>
          </w:p>
        </w:tc>
        <w:tc>
          <w:tcPr>
            <w:tcW w:w="73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0967" w:rsidRDefault="00DA0967" w:rsidP="003713D9">
            <w:pPr>
              <w:rPr>
                <w:sz w:val="16"/>
                <w:szCs w:val="16"/>
              </w:rPr>
            </w:pPr>
          </w:p>
        </w:tc>
      </w:tr>
      <w:tr w:rsidR="00DA0967" w:rsidTr="003713D9">
        <w:trPr>
          <w:trHeight w:val="255"/>
        </w:trPr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Агент/Брокер</w:t>
            </w:r>
          </w:p>
        </w:tc>
        <w:tc>
          <w:tcPr>
            <w:tcW w:w="73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0967" w:rsidRDefault="00DA0967" w:rsidP="003713D9">
            <w:pPr>
              <w:rPr>
                <w:sz w:val="16"/>
                <w:szCs w:val="16"/>
              </w:rPr>
            </w:pPr>
          </w:p>
        </w:tc>
      </w:tr>
      <w:tr w:rsidR="00DA0967" w:rsidTr="003713D9">
        <w:trPr>
          <w:trHeight w:val="255"/>
        </w:trPr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Банк</w:t>
            </w:r>
          </w:p>
        </w:tc>
        <w:tc>
          <w:tcPr>
            <w:tcW w:w="73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A0967" w:rsidRDefault="00DA0967" w:rsidP="003713D9">
            <w:pPr>
              <w:rPr>
                <w:sz w:val="16"/>
                <w:szCs w:val="16"/>
              </w:rPr>
            </w:pPr>
          </w:p>
        </w:tc>
      </w:tr>
      <w:tr w:rsidR="00DA0967" w:rsidTr="003713D9">
        <w:trPr>
          <w:trHeight w:val="255"/>
        </w:trPr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Автосалон</w:t>
            </w:r>
          </w:p>
        </w:tc>
        <w:tc>
          <w:tcPr>
            <w:tcW w:w="7309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A0967" w:rsidRDefault="00DA0967" w:rsidP="003713D9">
            <w:pPr>
              <w:rPr>
                <w:sz w:val="16"/>
                <w:szCs w:val="16"/>
              </w:rPr>
            </w:pPr>
          </w:p>
        </w:tc>
      </w:tr>
      <w:tr w:rsidR="00DA0967" w:rsidTr="003713D9">
        <w:trPr>
          <w:trHeight w:val="255"/>
        </w:trPr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 произвел</w:t>
            </w:r>
          </w:p>
        </w:tc>
        <w:tc>
          <w:tcPr>
            <w:tcW w:w="2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imprint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mprint/>
                <w:color w:val="FFFFFF"/>
                <w:sz w:val="16"/>
                <w:szCs w:val="16"/>
              </w:rPr>
              <w:t> ФИО</w:t>
            </w:r>
          </w:p>
        </w:tc>
        <w:tc>
          <w:tcPr>
            <w:tcW w:w="44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967" w:rsidRDefault="00DA0967" w:rsidP="003713D9">
            <w:pPr>
              <w:jc w:val="center"/>
              <w:rPr>
                <w:rFonts w:ascii="Times New Roman" w:hAnsi="Times New Roman" w:cs="Times New Roman"/>
                <w:imprint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mprint/>
                <w:color w:val="FFFFFF"/>
                <w:sz w:val="16"/>
                <w:szCs w:val="16"/>
              </w:rPr>
              <w:t>подпись</w:t>
            </w:r>
          </w:p>
        </w:tc>
      </w:tr>
    </w:tbl>
    <w:p w:rsidR="000F52CA" w:rsidRDefault="000F52CA"/>
    <w:sectPr w:rsidR="000F52CA" w:rsidSect="00DA09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0967"/>
    <w:rsid w:val="000F52CA"/>
    <w:rsid w:val="006F10D7"/>
    <w:rsid w:val="00B17314"/>
    <w:rsid w:val="00DA0967"/>
    <w:rsid w:val="00E85CE6"/>
    <w:rsid w:val="00ED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9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annotation text"/>
    <w:basedOn w:val="a"/>
    <w:link w:val="a4"/>
    <w:unhideWhenUsed/>
    <w:rsid w:val="00DA09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 w:bidi="en-US"/>
    </w:rPr>
  </w:style>
  <w:style w:type="character" w:customStyle="1" w:styleId="a4">
    <w:name w:val="Текст примечания Знак"/>
    <w:basedOn w:val="a0"/>
    <w:link w:val="a3"/>
    <w:rsid w:val="00DA0967"/>
    <w:rPr>
      <w:rFonts w:ascii="Calibri" w:eastAsia="Times New Roman" w:hAnsi="Calibri" w:cs="Times New Roman"/>
      <w:sz w:val="20"/>
      <w:szCs w:val="20"/>
      <w:lang w:bidi="en-US"/>
    </w:rPr>
  </w:style>
  <w:style w:type="paragraph" w:styleId="a5">
    <w:name w:val="Body Text"/>
    <w:basedOn w:val="a"/>
    <w:link w:val="a6"/>
    <w:semiHidden/>
    <w:unhideWhenUsed/>
    <w:rsid w:val="00DA0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DA09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DA09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1286</Words>
  <Characters>7331</Characters>
  <Application>Microsoft Office Word</Application>
  <DocSecurity>0</DocSecurity>
  <Lines>61</Lines>
  <Paragraphs>17</Paragraphs>
  <ScaleCrop>false</ScaleCrop>
  <Company>Home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2015-11-14T13:43:00Z</dcterms:created>
  <dcterms:modified xsi:type="dcterms:W3CDTF">2015-11-14T13:49:00Z</dcterms:modified>
</cp:coreProperties>
</file>