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05" w:rsidRPr="000952F4" w:rsidRDefault="00DD3805" w:rsidP="000952F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Банкострахование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 и тенд</w:t>
      </w:r>
      <w:r w:rsidR="000D7A64" w:rsidRPr="000952F4">
        <w:rPr>
          <w:rFonts w:ascii="Times New Roman" w:hAnsi="Times New Roman" w:cs="Times New Roman"/>
          <w:sz w:val="24"/>
          <w:szCs w:val="24"/>
        </w:rPr>
        <w:t>енции его развития  в России</w:t>
      </w:r>
    </w:p>
    <w:p w:rsidR="000D7A64" w:rsidRPr="000952F4" w:rsidRDefault="000D7A64" w:rsidP="000952F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О.А.Дубинка</w:t>
      </w:r>
    </w:p>
    <w:p w:rsidR="000952F4" w:rsidRPr="000952F4" w:rsidRDefault="000952F4" w:rsidP="000952F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D3805" w:rsidRPr="000952F4" w:rsidRDefault="000D7A64" w:rsidP="000952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52F4">
        <w:rPr>
          <w:rFonts w:ascii="Times New Roman" w:hAnsi="Times New Roman" w:cs="Times New Roman"/>
          <w:sz w:val="24"/>
          <w:szCs w:val="24"/>
        </w:rPr>
        <w:t>В</w:t>
      </w:r>
      <w:r w:rsidR="00C411B3" w:rsidRPr="000952F4">
        <w:rPr>
          <w:rFonts w:ascii="Times New Roman" w:hAnsi="Times New Roman" w:cs="Times New Roman"/>
          <w:sz w:val="24"/>
          <w:szCs w:val="24"/>
        </w:rPr>
        <w:t xml:space="preserve"> с</w:t>
      </w:r>
      <w:r w:rsidRPr="000952F4">
        <w:rPr>
          <w:rFonts w:ascii="Times New Roman" w:hAnsi="Times New Roman" w:cs="Times New Roman"/>
          <w:sz w:val="24"/>
          <w:szCs w:val="24"/>
        </w:rPr>
        <w:t>татье отмечается, что</w:t>
      </w:r>
      <w:r w:rsidRPr="000952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2F4">
        <w:rPr>
          <w:rFonts w:ascii="Times New Roman" w:hAnsi="Times New Roman" w:cs="Times New Roman"/>
          <w:bCs/>
          <w:sz w:val="24"/>
          <w:szCs w:val="24"/>
        </w:rPr>
        <w:t>с</w:t>
      </w:r>
      <w:r w:rsidRPr="000952F4">
        <w:rPr>
          <w:rFonts w:ascii="Times New Roman" w:hAnsi="Times New Roman" w:cs="Times New Roman"/>
          <w:sz w:val="24"/>
          <w:szCs w:val="24"/>
        </w:rPr>
        <w:t xml:space="preserve"> появлением и развитием в нашей стране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 - нового и перспективного вида совместной деятельности банков и страховых компаний, изучение теоретических аспектов организации данного процесса и выявление современных тенденций его развития приобрели большую актуальность.</w:t>
      </w:r>
    </w:p>
    <w:p w:rsidR="00843EC5" w:rsidRPr="000952F4" w:rsidRDefault="00843EC5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Страховая деятельность всех стран мира находится под государственным надзором, в силу того что на современном этапе развития система страхования является очень значимой для экономико-социальной жизни всего общества.</w:t>
      </w:r>
    </w:p>
    <w:p w:rsidR="00843EC5" w:rsidRPr="000952F4" w:rsidRDefault="00843EC5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отследить качество предоставляемых страховых услуг, надежность страховой компании, государство регулирует деятельность страховых организаций посредством страхового надзора.</w:t>
      </w:r>
    </w:p>
    <w:p w:rsidR="00843EC5" w:rsidRPr="000952F4" w:rsidRDefault="00843EC5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сентября 2013 года и по настоящий момент страховой надзор в Российской Федерации осуществляется департаментом страхового рынка при </w:t>
      </w:r>
      <w:r w:rsidRPr="000952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Центральном банке РФ</w:t>
      </w:r>
      <w:r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8E3B43" w:rsidRPr="000952F4" w:rsidRDefault="008E3B43" w:rsidP="000952F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0952F4">
        <w:rPr>
          <w:rFonts w:ascii="Times New Roman" w:hAnsi="Times New Roman" w:cs="Times New Roman"/>
          <w:sz w:val="24"/>
          <w:szCs w:val="24"/>
        </w:rPr>
        <w:t xml:space="preserve">Банк  России с 2013 года стал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мегарегулятором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 финансовых рынков в соответствии и  ФЗ от 24.07.2013г № 251-ФЗ  «  О внесении изменений в отдельные</w:t>
      </w:r>
      <w:r w:rsidRPr="000952F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законодательные акты Российской Федерации в связи с передачей Центральному банку Российской Федерации полномочий по регулированию, контролю и надзору в сфере финансовых рынков"</w:t>
      </w: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 связи с этим</w:t>
      </w:r>
      <w:r w:rsidR="00F0161E"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Банк России имеет право</w:t>
      </w:r>
      <w:r w:rsid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proofErr w:type="gramEnd"/>
    </w:p>
    <w:p w:rsidR="00F0161E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1.Рассматиривать д</w:t>
      </w:r>
      <w:r w:rsid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окументы, связанные с допуском н</w:t>
      </w: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финансовый рынок </w:t>
      </w:r>
      <w:proofErr w:type="spellStart"/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некредитных</w:t>
      </w:r>
      <w:proofErr w:type="spellEnd"/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финансовых организаций (НКФО):</w:t>
      </w:r>
    </w:p>
    <w:p w:rsidR="00F0161E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допуск к работе на финансовом рынке</w:t>
      </w:r>
      <w:r w:rsidR="00F6256B"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лицензирование, аккредитация, включение в реестр);</w:t>
      </w:r>
    </w:p>
    <w:p w:rsidR="00F0161E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 регистрация документов;</w:t>
      </w:r>
    </w:p>
    <w:p w:rsidR="00F0161E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аттестация граждан для работы в НКФО</w:t>
      </w:r>
    </w:p>
    <w:p w:rsidR="00F0161E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2.Проведение инспекционных проверок деятельности всех НКФО.</w:t>
      </w:r>
    </w:p>
    <w:p w:rsidR="00CF5A05" w:rsidRPr="000952F4" w:rsidRDefault="00F0161E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</w:t>
      </w:r>
      <w:proofErr w:type="gramStart"/>
      <w:r w:rsidR="009970D4"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 за</w:t>
      </w:r>
      <w:proofErr w:type="gramEnd"/>
      <w:r w:rsidR="009970D4" w:rsidRPr="000952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соблюдением законодательства в сфере страховой деятельности, который </w:t>
      </w:r>
      <w:r w:rsidR="009970D4" w:rsidRPr="00095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возложен на Департамент страхового рынка Банка России. </w:t>
      </w:r>
    </w:p>
    <w:p w:rsidR="00CF5A05" w:rsidRPr="000952F4" w:rsidRDefault="00CF5A05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0952F4">
        <w:rPr>
          <w:rFonts w:ascii="Times New Roman" w:hAnsi="Times New Roman" w:cs="Times New Roman"/>
          <w:sz w:val="24"/>
          <w:szCs w:val="24"/>
        </w:rPr>
        <w:t>Применение санкций к участникам рынка страховых услуг, нарушившим требования страхового законодательства</w:t>
      </w:r>
    </w:p>
    <w:p w:rsidR="00CF5A05" w:rsidRPr="000952F4" w:rsidRDefault="00CF5A05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5. Разрабатывать проекты нормативных правовых актов в сфере страховой деятельности</w:t>
      </w:r>
    </w:p>
    <w:p w:rsidR="00CF5A05" w:rsidRPr="000952F4" w:rsidRDefault="00CF5A05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Так, в  частности, </w:t>
      </w:r>
      <w:hyperlink r:id="rId7" w:history="1">
        <w:r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Банк России намерен пересмотреть тарифы по обязательному страхованию гражданской ответственности перевозчиков (ОСГОП) за причинение вреда </w:t>
        </w:r>
        <w:r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lastRenderedPageBreak/>
          <w:t>жизни и здоровью пассажирам.</w:t>
        </w:r>
      </w:hyperlink>
      <w:r w:rsidR="00DD3805" w:rsidRPr="000952F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DD3805"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Новые тарифы по  ОСГОП </w:t>
        </w:r>
        <w:r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могут быть утвержден</w:t>
        </w:r>
        <w:r w:rsidR="00DD3805"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ы во втором полугодии 2016 года.</w:t>
        </w:r>
      </w:hyperlink>
      <w:r w:rsidR="00DD3805" w:rsidRPr="00095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61E" w:rsidRPr="000952F4" w:rsidRDefault="009970D4" w:rsidP="000952F4">
      <w:pPr>
        <w:pStyle w:val="a4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Раньше эти функции осуществлял Департамент страхового надзора при Минфине РФ.</w:t>
      </w:r>
    </w:p>
    <w:p w:rsidR="00843EC5" w:rsidRPr="000952F4" w:rsidRDefault="00843EC5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>По состоянию на 1 января 2016 г. списочный состав страховых компаний по реестру ЦБ сократился до 330 организаций, причем у 28 из них были приостановлены лицензии.</w:t>
      </w:r>
    </w:p>
    <w:p w:rsidR="00B21497" w:rsidRPr="000952F4" w:rsidRDefault="00B21497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Рынок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 в 2014 году достиг 214 </w:t>
      </w:r>
      <w:proofErr w:type="gramStart"/>
      <w:r w:rsidRPr="000952F4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0952F4">
        <w:rPr>
          <w:rFonts w:ascii="Times New Roman" w:hAnsi="Times New Roman" w:cs="Times New Roman"/>
          <w:sz w:val="24"/>
          <w:szCs w:val="24"/>
        </w:rPr>
        <w:t xml:space="preserve"> рублей и составил 22% всего страхового рынка.</w:t>
      </w:r>
    </w:p>
    <w:p w:rsidR="00035A20" w:rsidRPr="000952F4" w:rsidRDefault="00035A20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  термином  «</w:t>
      </w:r>
      <w:proofErr w:type="spellStart"/>
      <w:r w:rsidRP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банкострахование</w:t>
      </w:r>
      <w:proofErr w:type="spellEnd"/>
      <w:r w:rsidRP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>»  следует  понимать  процесс  интеграции  банков  и  страховых  компаний  с  целью  реализации  как  страховых,  так  и  банковских  продуктов,  совмещая  каналы  продаж  и  клиентскую  базу  партнера,  страхование  рисков  самих  банков,  а  также  доступ  к  внутренним  финансовым  ресурсам  друг  друга.  При  этом  мотивация  вхождения  страховых  и  банковских  институтов  в  банковское  страхование  сводится  к  су</w:t>
      </w:r>
      <w:r w:rsid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щественному  ряду  преимуществ:</w:t>
      </w:r>
      <w:r w:rsidRP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5A20" w:rsidRPr="000952F4" w:rsidRDefault="00035A20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sz w:val="24"/>
          <w:szCs w:val="24"/>
          <w:lang w:eastAsia="ru-RU"/>
        </w:rPr>
        <w:t>-  расширение  клиентской  базы,  снижение  издержек;</w:t>
      </w:r>
    </w:p>
    <w:p w:rsidR="00035A20" w:rsidRPr="000952F4" w:rsidRDefault="00035A20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-  </w:t>
      </w:r>
      <w:r w:rsidR="000952F4">
        <w:rPr>
          <w:rFonts w:ascii="Times New Roman" w:hAnsi="Times New Roman" w:cs="Times New Roman"/>
          <w:color w:val="auto"/>
          <w:sz w:val="24"/>
          <w:szCs w:val="24"/>
        </w:rPr>
        <w:t xml:space="preserve">выход </w:t>
      </w:r>
      <w:r w:rsidRPr="000952F4">
        <w:rPr>
          <w:rFonts w:ascii="Times New Roman" w:hAnsi="Times New Roman" w:cs="Times New Roman"/>
          <w:color w:val="auto"/>
          <w:sz w:val="24"/>
          <w:szCs w:val="24"/>
        </w:rPr>
        <w:t xml:space="preserve">на  новые  сегменты  рынка;  </w:t>
      </w:r>
    </w:p>
    <w:p w:rsidR="00035A20" w:rsidRPr="000952F4" w:rsidRDefault="00035A20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color w:val="auto"/>
          <w:sz w:val="24"/>
          <w:szCs w:val="24"/>
        </w:rPr>
        <w:t xml:space="preserve">- минимизировать  риски  кредитных  учреждений;  </w:t>
      </w:r>
    </w:p>
    <w:p w:rsidR="00035A20" w:rsidRPr="000952F4" w:rsidRDefault="00035A20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color w:val="auto"/>
          <w:sz w:val="24"/>
          <w:szCs w:val="24"/>
        </w:rPr>
        <w:t>- получить  дополнительные  доходы  в  виде  комиссионного  вознаграждения  от  страховых  компаний; </w:t>
      </w:r>
    </w:p>
    <w:p w:rsidR="00035A20" w:rsidRPr="000952F4" w:rsidRDefault="00035A20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color w:val="auto"/>
          <w:sz w:val="24"/>
          <w:szCs w:val="24"/>
        </w:rPr>
        <w:t xml:space="preserve"> - повысить  надежность  всех  финансовых  операций.</w:t>
      </w:r>
    </w:p>
    <w:p w:rsidR="00605072" w:rsidRPr="000952F4" w:rsidRDefault="00605072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В современных условиях </w:t>
      </w:r>
      <w:proofErr w:type="spellStart"/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>банкострахование</w:t>
      </w:r>
      <w:proofErr w:type="spellEnd"/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 является одним из перспективных направлений для российского рынка. За короткий период </w:t>
      </w:r>
      <w:proofErr w:type="spellStart"/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  <w:r w:rsidR="000952F4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сложилось </w:t>
      </w:r>
      <w:r w:rsidRPr="000952F4">
        <w:rPr>
          <w:rFonts w:ascii="Times New Roman" w:hAnsi="Times New Roman" w:cs="Times New Roman"/>
          <w:iCs/>
          <w:color w:val="auto"/>
          <w:sz w:val="24"/>
          <w:szCs w:val="24"/>
        </w:rPr>
        <w:t>множество форм  его реализации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663"/>
        <w:gridCol w:w="236"/>
        <w:gridCol w:w="1928"/>
        <w:gridCol w:w="365"/>
        <w:gridCol w:w="1420"/>
        <w:gridCol w:w="342"/>
        <w:gridCol w:w="1512"/>
        <w:gridCol w:w="330"/>
        <w:gridCol w:w="1611"/>
      </w:tblGrid>
      <w:tr w:rsidR="00605072" w:rsidRPr="000952F4" w:rsidTr="000952F4">
        <w:tc>
          <w:tcPr>
            <w:tcW w:w="1663" w:type="dxa"/>
          </w:tcPr>
          <w:p w:rsidR="00605072" w:rsidRPr="000952F4" w:rsidRDefault="00605072" w:rsidP="000952F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Форма взаимных услуг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605072" w:rsidRPr="000952F4" w:rsidRDefault="00605072" w:rsidP="000952F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605072" w:rsidRPr="000952F4" w:rsidRDefault="00605072" w:rsidP="000952F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Форма агентских отношений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:rsidR="00605072" w:rsidRPr="000952F4" w:rsidRDefault="00605072" w:rsidP="000952F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05072" w:rsidRPr="000952F4" w:rsidRDefault="00605072" w:rsidP="000952F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Форма кооперации</w:t>
            </w:r>
          </w:p>
        </w:tc>
        <w:tc>
          <w:tcPr>
            <w:tcW w:w="342" w:type="dxa"/>
            <w:tcBorders>
              <w:top w:val="nil"/>
              <w:bottom w:val="nil"/>
            </w:tcBorders>
          </w:tcPr>
          <w:p w:rsidR="00605072" w:rsidRPr="000952F4" w:rsidRDefault="00605072" w:rsidP="000952F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605072" w:rsidRPr="000952F4" w:rsidRDefault="00605072" w:rsidP="000952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605072" w:rsidRPr="000952F4" w:rsidRDefault="00605072" w:rsidP="000952F4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:rsidR="00605072" w:rsidRPr="000952F4" w:rsidRDefault="00605072" w:rsidP="000952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Форма супермаркета</w:t>
            </w:r>
          </w:p>
        </w:tc>
      </w:tr>
    </w:tbl>
    <w:p w:rsidR="006657C9" w:rsidRPr="000952F4" w:rsidRDefault="00605072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 </w:t>
      </w:r>
      <w:r w:rsidR="006657C9" w:rsidRPr="00095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A05" w:rsidRPr="000952F4" w:rsidRDefault="00605072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Выбор форм зависит от </w:t>
      </w:r>
      <w:r w:rsidR="006657C9" w:rsidRPr="000952F4">
        <w:rPr>
          <w:rFonts w:ascii="Times New Roman" w:hAnsi="Times New Roman" w:cs="Times New Roman"/>
          <w:sz w:val="24"/>
          <w:szCs w:val="24"/>
        </w:rPr>
        <w:t>конкретных рыночных условий взаимодействия  банка и страховых компаний.</w:t>
      </w:r>
    </w:p>
    <w:p w:rsidR="006657C9" w:rsidRPr="000952F4" w:rsidRDefault="006657C9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Сотрудничество банков и страховых компаний осуществляется по следующим направлениям:</w:t>
      </w:r>
    </w:p>
    <w:p w:rsidR="006657C9" w:rsidRPr="000952F4" w:rsidRDefault="006657C9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- розничное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банкострахование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>;</w:t>
      </w:r>
    </w:p>
    <w:p w:rsidR="006657C9" w:rsidRPr="000952F4" w:rsidRDefault="006657C9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52F4">
        <w:rPr>
          <w:rFonts w:ascii="Times New Roman" w:hAnsi="Times New Roman" w:cs="Times New Roman"/>
          <w:iCs/>
          <w:sz w:val="24"/>
          <w:szCs w:val="24"/>
        </w:rPr>
        <w:t xml:space="preserve">- корпоративное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банкострахование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>;</w:t>
      </w:r>
    </w:p>
    <w:p w:rsidR="00326C14" w:rsidRPr="000952F4" w:rsidRDefault="006657C9" w:rsidP="000952F4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952F4">
        <w:rPr>
          <w:rFonts w:ascii="Times New Roman" w:hAnsi="Times New Roman" w:cs="Times New Roman"/>
          <w:iCs/>
          <w:sz w:val="24"/>
          <w:szCs w:val="24"/>
        </w:rPr>
        <w:t>- страхование рисков банков</w:t>
      </w:r>
      <w:r w:rsidR="00326C14" w:rsidRPr="000952F4">
        <w:rPr>
          <w:rFonts w:ascii="Times New Roman" w:hAnsi="Times New Roman" w:cs="Times New Roman"/>
          <w:color w:val="000000"/>
          <w:sz w:val="24"/>
          <w:szCs w:val="24"/>
        </w:rPr>
        <w:t xml:space="preserve"> (страхование от рисков, связанных с применением пластиковых карточек в банковской сфере, страхование банковских вкладов)</w:t>
      </w:r>
    </w:p>
    <w:p w:rsidR="009B6766" w:rsidRPr="000952F4" w:rsidRDefault="00C526DE" w:rsidP="000952F4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0952F4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69763" cy="1719072"/>
            <wp:effectExtent l="19050" t="0" r="11887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740AA" w:rsidRPr="000952F4" w:rsidRDefault="00E740AA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21497" w:rsidRPr="000952F4" w:rsidRDefault="006657C9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iCs/>
          <w:sz w:val="24"/>
          <w:szCs w:val="24"/>
        </w:rPr>
        <w:t xml:space="preserve">С 2013 года сформировался новый сектор 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некредитное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 страхование, </w:t>
      </w:r>
      <w:r w:rsidR="00326C14" w:rsidRPr="000952F4">
        <w:rPr>
          <w:rFonts w:ascii="Times New Roman" w:hAnsi="Times New Roman" w:cs="Times New Roman"/>
          <w:iCs/>
          <w:sz w:val="24"/>
          <w:szCs w:val="24"/>
        </w:rPr>
        <w:t>включающее ИСЖ, НСЖ</w:t>
      </w:r>
      <w:r w:rsidRPr="000952F4">
        <w:rPr>
          <w:rFonts w:ascii="Times New Roman" w:hAnsi="Times New Roman" w:cs="Times New Roman"/>
          <w:iCs/>
          <w:sz w:val="24"/>
          <w:szCs w:val="24"/>
        </w:rPr>
        <w:t>.</w:t>
      </w:r>
      <w:r w:rsidR="00293DAE" w:rsidRPr="000952F4">
        <w:rPr>
          <w:rFonts w:ascii="Times New Roman" w:hAnsi="Times New Roman" w:cs="Times New Roman"/>
          <w:sz w:val="24"/>
          <w:szCs w:val="24"/>
        </w:rPr>
        <w:t xml:space="preserve"> В </w:t>
      </w:r>
      <w:r w:rsidR="00B97DC5" w:rsidRPr="000952F4">
        <w:rPr>
          <w:rFonts w:ascii="Times New Roman" w:hAnsi="Times New Roman" w:cs="Times New Roman"/>
          <w:sz w:val="24"/>
          <w:szCs w:val="24"/>
        </w:rPr>
        <w:t xml:space="preserve">2014 году </w:t>
      </w:r>
      <w:proofErr w:type="spellStart"/>
      <w:r w:rsidR="00B21497" w:rsidRPr="000952F4">
        <w:rPr>
          <w:rFonts w:ascii="Times New Roman" w:hAnsi="Times New Roman" w:cs="Times New Roman"/>
          <w:sz w:val="24"/>
          <w:szCs w:val="24"/>
        </w:rPr>
        <w:t>некредитное</w:t>
      </w:r>
      <w:proofErr w:type="spellEnd"/>
      <w:r w:rsidR="00B21497" w:rsidRPr="000952F4">
        <w:rPr>
          <w:rFonts w:ascii="Times New Roman" w:hAnsi="Times New Roman" w:cs="Times New Roman"/>
          <w:sz w:val="24"/>
          <w:szCs w:val="24"/>
        </w:rPr>
        <w:t xml:space="preserve"> страхование</w:t>
      </w:r>
      <w:r w:rsidR="00B97DC5" w:rsidRPr="000952F4">
        <w:rPr>
          <w:rFonts w:ascii="Times New Roman" w:hAnsi="Times New Roman" w:cs="Times New Roman"/>
          <w:sz w:val="24"/>
          <w:szCs w:val="24"/>
        </w:rPr>
        <w:t xml:space="preserve"> </w:t>
      </w:r>
      <w:r w:rsidR="00293DAE" w:rsidRPr="000952F4">
        <w:rPr>
          <w:rFonts w:ascii="Times New Roman" w:hAnsi="Times New Roman" w:cs="Times New Roman"/>
          <w:sz w:val="24"/>
          <w:szCs w:val="24"/>
        </w:rPr>
        <w:t xml:space="preserve">выросло на 117%, </w:t>
      </w:r>
      <w:r w:rsidR="00326C14" w:rsidRPr="000952F4">
        <w:rPr>
          <w:rFonts w:ascii="Times New Roman" w:hAnsi="Times New Roman" w:cs="Times New Roman"/>
          <w:sz w:val="24"/>
          <w:szCs w:val="24"/>
        </w:rPr>
        <w:t xml:space="preserve">с 26,8 млрд. рублей за 2013 год до 58 млрд. рублей за 2014 год, а его доля в структуре </w:t>
      </w:r>
      <w:proofErr w:type="spellStart"/>
      <w:r w:rsidR="00326C14"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="00326C14" w:rsidRPr="000952F4">
        <w:rPr>
          <w:rFonts w:ascii="Times New Roman" w:hAnsi="Times New Roman" w:cs="Times New Roman"/>
          <w:sz w:val="24"/>
          <w:szCs w:val="24"/>
        </w:rPr>
        <w:t xml:space="preserve"> увеличилась с 13,8% до 27,1%. </w:t>
      </w:r>
      <w:r w:rsidR="00B21497" w:rsidRPr="000952F4">
        <w:rPr>
          <w:rFonts w:ascii="Times New Roman" w:hAnsi="Times New Roman" w:cs="Times New Roman"/>
          <w:sz w:val="24"/>
          <w:szCs w:val="24"/>
        </w:rPr>
        <w:t xml:space="preserve">что </w:t>
      </w:r>
      <w:r w:rsidR="00293DAE" w:rsidRPr="000952F4">
        <w:rPr>
          <w:rFonts w:ascii="Times New Roman" w:hAnsi="Times New Roman" w:cs="Times New Roman"/>
          <w:sz w:val="24"/>
          <w:szCs w:val="24"/>
        </w:rPr>
        <w:t xml:space="preserve">перекрыло падение кредитного страхования, которое начало сокращаться после падения объемов выдачи </w:t>
      </w:r>
      <w:proofErr w:type="spellStart"/>
      <w:r w:rsidR="00293DAE" w:rsidRPr="000952F4">
        <w:rPr>
          <w:rFonts w:ascii="Times New Roman" w:hAnsi="Times New Roman" w:cs="Times New Roman"/>
          <w:sz w:val="24"/>
          <w:szCs w:val="24"/>
        </w:rPr>
        <w:t>потребкредитования</w:t>
      </w:r>
      <w:proofErr w:type="spellEnd"/>
      <w:proofErr w:type="gramStart"/>
      <w:r w:rsidR="008D3EAF" w:rsidRPr="000952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21497" w:rsidRPr="000952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21497" w:rsidRPr="000952F4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B21497" w:rsidRPr="000952F4">
        <w:rPr>
          <w:rFonts w:ascii="Times New Roman" w:hAnsi="Times New Roman" w:cs="Times New Roman"/>
          <w:sz w:val="24"/>
          <w:szCs w:val="24"/>
        </w:rPr>
        <w:t>сли  в  2013  году  этот  показатель  был  на  уровне  39  %,  а  в  2014  —  29  %,  то  в  2015  году  он  ожидается  уже  около  22  %.</w:t>
      </w:r>
    </w:p>
    <w:p w:rsidR="006657C9" w:rsidRPr="000952F4" w:rsidRDefault="009B6766" w:rsidP="000952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iCs/>
          <w:sz w:val="24"/>
          <w:szCs w:val="24"/>
        </w:rPr>
        <w:t xml:space="preserve">В современных условиях сформировалась новая модель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 «стратегический альянс с целью распространения новых страховых продуктов</w:t>
      </w:r>
      <w:proofErr w:type="gramStart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»., </w:t>
      </w:r>
      <w:proofErr w:type="gramEnd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когда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кэптивные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 xml:space="preserve"> страховые компании занимаются </w:t>
      </w:r>
      <w:proofErr w:type="spellStart"/>
      <w:r w:rsidRPr="000952F4">
        <w:rPr>
          <w:rFonts w:ascii="Times New Roman" w:hAnsi="Times New Roman" w:cs="Times New Roman"/>
          <w:iCs/>
          <w:sz w:val="24"/>
          <w:szCs w:val="24"/>
        </w:rPr>
        <w:t>банкострахованием</w:t>
      </w:r>
      <w:proofErr w:type="spellEnd"/>
      <w:r w:rsidRPr="000952F4">
        <w:rPr>
          <w:rFonts w:ascii="Times New Roman" w:hAnsi="Times New Roman" w:cs="Times New Roman"/>
          <w:iCs/>
          <w:sz w:val="24"/>
          <w:szCs w:val="24"/>
        </w:rPr>
        <w:t>.</w:t>
      </w:r>
    </w:p>
    <w:p w:rsidR="0083661C" w:rsidRPr="000952F4" w:rsidRDefault="0083661C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По  предварительным  данным  экспертов  объем  </w:t>
      </w:r>
      <w:r w:rsidR="008D3EAF" w:rsidRPr="000952F4">
        <w:rPr>
          <w:rFonts w:ascii="Times New Roman" w:hAnsi="Times New Roman" w:cs="Times New Roman"/>
          <w:sz w:val="24"/>
          <w:szCs w:val="24"/>
        </w:rPr>
        <w:t xml:space="preserve">рынка  </w:t>
      </w:r>
      <w:proofErr w:type="spellStart"/>
      <w:r w:rsidR="008D3EAF"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="008D3EAF" w:rsidRPr="000952F4">
        <w:rPr>
          <w:rFonts w:ascii="Times New Roman" w:hAnsi="Times New Roman" w:cs="Times New Roman"/>
          <w:sz w:val="24"/>
          <w:szCs w:val="24"/>
        </w:rPr>
        <w:t>  в  2014</w:t>
      </w:r>
      <w:r w:rsidRPr="000952F4">
        <w:rPr>
          <w:rFonts w:ascii="Times New Roman" w:hAnsi="Times New Roman" w:cs="Times New Roman"/>
          <w:sz w:val="24"/>
          <w:szCs w:val="24"/>
        </w:rPr>
        <w:t>  году  вырос  почти  на  20  %  по  сравнению  с  предыдущим  годом  и  составил  около  192,6  млрд.  рублей.  Согласно  исследовани</w:t>
      </w:r>
      <w:r w:rsidR="008D3EAF" w:rsidRPr="000952F4">
        <w:rPr>
          <w:rFonts w:ascii="Times New Roman" w:hAnsi="Times New Roman" w:cs="Times New Roman"/>
          <w:sz w:val="24"/>
          <w:szCs w:val="24"/>
        </w:rPr>
        <w:t>ям  экспертов,  по  итогам  2015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года  объем  сборов  в  этом  сегменте  ожидается  на  уровне  221  млрд.  рублей.  Однако  темпы  прироста  сегмента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>  от  года  к  году  сокращают</w:t>
      </w:r>
      <w:r w:rsidR="008D3EAF" w:rsidRPr="000952F4">
        <w:rPr>
          <w:rFonts w:ascii="Times New Roman" w:hAnsi="Times New Roman" w:cs="Times New Roman"/>
          <w:sz w:val="24"/>
          <w:szCs w:val="24"/>
        </w:rPr>
        <w:t>ся.  Так,  в  2014</w:t>
      </w:r>
      <w:r w:rsidRPr="000952F4">
        <w:rPr>
          <w:rFonts w:ascii="Times New Roman" w:hAnsi="Times New Roman" w:cs="Times New Roman"/>
          <w:sz w:val="24"/>
          <w:szCs w:val="24"/>
        </w:rPr>
        <w:t>  году  он  снизился  почти  в  1,</w:t>
      </w:r>
      <w:r w:rsidR="008D3EAF" w:rsidRPr="000952F4">
        <w:rPr>
          <w:rFonts w:ascii="Times New Roman" w:hAnsi="Times New Roman" w:cs="Times New Roman"/>
          <w:sz w:val="24"/>
          <w:szCs w:val="24"/>
        </w:rPr>
        <w:t>5  раза  по  сравнению  с  2013 годом.  В  2015</w:t>
      </w:r>
      <w:r w:rsidRPr="000952F4">
        <w:rPr>
          <w:rFonts w:ascii="Times New Roman" w:hAnsi="Times New Roman" w:cs="Times New Roman"/>
          <w:sz w:val="24"/>
          <w:szCs w:val="24"/>
        </w:rPr>
        <w:t>  году  ожидается  ещ</w:t>
      </w:r>
      <w:r w:rsidR="008D3EAF" w:rsidRPr="000952F4">
        <w:rPr>
          <w:rFonts w:ascii="Times New Roman" w:hAnsi="Times New Roman" w:cs="Times New Roman"/>
          <w:sz w:val="24"/>
          <w:szCs w:val="24"/>
        </w:rPr>
        <w:t xml:space="preserve">е  большее  замедление  роста  </w:t>
      </w:r>
      <w:r w:rsidRPr="000952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F0C" w:rsidRPr="000952F4" w:rsidRDefault="0083661C" w:rsidP="000952F4">
      <w:pPr>
        <w:pStyle w:val="a5"/>
        <w:spacing w:before="0" w:line="360" w:lineRule="auto"/>
        <w:ind w:firstLine="709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E4F0C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Страхование жизни и здоровья заемщика </w:t>
      </w:r>
      <w:proofErr w:type="spellStart"/>
      <w:r w:rsidR="00BE4F0C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>потребкредитов</w:t>
      </w:r>
      <w:proofErr w:type="spellEnd"/>
      <w:r w:rsidR="00BE4F0C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в том числе от </w:t>
      </w:r>
      <w:r w:rsidR="000952F4">
        <w:rPr>
          <w:rStyle w:val="a6"/>
          <w:rFonts w:ascii="Times New Roman" w:hAnsi="Times New Roman" w:cs="Times New Roman"/>
          <w:b w:val="0"/>
          <w:sz w:val="24"/>
          <w:szCs w:val="24"/>
        </w:rPr>
        <w:t>несчастных случаев</w:t>
      </w:r>
      <w:r w:rsidR="00114244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(2014 год)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1701"/>
        <w:gridCol w:w="1701"/>
        <w:gridCol w:w="2091"/>
      </w:tblGrid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5"/>
              <w:spacing w:before="0" w:line="276" w:lineRule="auto"/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0952F4">
              <w:rPr>
                <w:rFonts w:ascii="Times New Roman" w:hAnsi="Times New Roman" w:cs="Times New Roman"/>
                <w:sz w:val="22"/>
                <w:szCs w:val="22"/>
              </w:rPr>
              <w:t>Компания/группа компаний</w:t>
            </w:r>
          </w:p>
        </w:tc>
        <w:tc>
          <w:tcPr>
            <w:tcW w:w="1701" w:type="dxa"/>
          </w:tcPr>
          <w:p w:rsidR="00114244" w:rsidRPr="000952F4" w:rsidRDefault="000952F4" w:rsidP="000952F4">
            <w:pPr>
              <w:pStyle w:val="a5"/>
              <w:spacing w:before="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Страховые взносы,</w:t>
            </w:r>
          </w:p>
          <w:p w:rsidR="00114244" w:rsidRPr="000952F4" w:rsidRDefault="00114244" w:rsidP="000952F4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52F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тыс. </w:t>
            </w:r>
            <w:proofErr w:type="spellStart"/>
            <w:r w:rsidRPr="000952F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5"/>
              <w:spacing w:before="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952F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Страховые выплаты, </w:t>
            </w:r>
          </w:p>
          <w:p w:rsidR="00114244" w:rsidRPr="000952F4" w:rsidRDefault="00114244" w:rsidP="000952F4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52F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тыс. </w:t>
            </w:r>
            <w:proofErr w:type="spellStart"/>
            <w:r w:rsidRPr="000952F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952F4">
              <w:rPr>
                <w:rFonts w:ascii="Times New Roman" w:hAnsi="Times New Roman" w:cs="Times New Roman"/>
                <w:sz w:val="22"/>
                <w:szCs w:val="22"/>
              </w:rPr>
              <w:t>Прирост взносов, по сравнению с 2013г, %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ООО «СК «Сбербанк страхование жизни»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7451747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127232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522,3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Страховая группа «</w:t>
            </w:r>
            <w:hyperlink r:id="rId10" w:history="1">
              <w:r w:rsidRPr="000952F4">
                <w:rPr>
                  <w:rStyle w:val="a3"/>
                  <w:color w:val="000000" w:themeColor="text1"/>
                  <w:sz w:val="22"/>
                  <w:szCs w:val="22"/>
                </w:rPr>
                <w:t>АльфаСтрахование</w:t>
              </w:r>
            </w:hyperlink>
            <w:r w:rsidRPr="000952F4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2643171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16328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20,6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САО «</w:t>
            </w:r>
            <w:hyperlink r:id="rId11" w:history="1">
              <w:r w:rsidRPr="000952F4">
                <w:rPr>
                  <w:rStyle w:val="a3"/>
                  <w:color w:val="000000" w:themeColor="text1"/>
                  <w:sz w:val="22"/>
                  <w:szCs w:val="22"/>
                </w:rPr>
                <w:t>ВСК</w:t>
              </w:r>
            </w:hyperlink>
            <w:r w:rsidRPr="000952F4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1633880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203491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-36,6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Страховая группа «</w:t>
            </w:r>
            <w:hyperlink r:id="rId12" w:history="1">
              <w:r w:rsidRPr="000952F4">
                <w:rPr>
                  <w:rStyle w:val="a3"/>
                  <w:color w:val="000000" w:themeColor="text1"/>
                  <w:sz w:val="22"/>
                  <w:szCs w:val="22"/>
                </w:rPr>
                <w:t>МАКС</w:t>
              </w:r>
            </w:hyperlink>
            <w:r w:rsidRPr="000952F4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951658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39854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165,3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ОСАО «</w:t>
            </w:r>
            <w:hyperlink r:id="rId13" w:history="1">
              <w:r w:rsidRPr="000952F4">
                <w:rPr>
                  <w:rStyle w:val="a3"/>
                  <w:color w:val="000000" w:themeColor="text1"/>
                  <w:sz w:val="22"/>
                  <w:szCs w:val="22"/>
                </w:rPr>
                <w:t>РЕСО-Гарантия</w:t>
              </w:r>
            </w:hyperlink>
            <w:r w:rsidRPr="000952F4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643484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21352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63,7</w:t>
            </w:r>
          </w:p>
        </w:tc>
      </w:tr>
      <w:tr w:rsidR="00114244" w:rsidRPr="000952F4" w:rsidTr="000952F4">
        <w:tc>
          <w:tcPr>
            <w:tcW w:w="4077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ООО «СК «</w:t>
            </w:r>
            <w:hyperlink r:id="rId14" w:history="1">
              <w:r w:rsidRPr="000952F4">
                <w:rPr>
                  <w:rStyle w:val="a3"/>
                  <w:color w:val="000000" w:themeColor="text1"/>
                  <w:sz w:val="22"/>
                  <w:szCs w:val="22"/>
                </w:rPr>
                <w:t>Согласие</w:t>
              </w:r>
            </w:hyperlink>
            <w:r w:rsidRPr="000952F4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70233</w:t>
            </w:r>
          </w:p>
        </w:tc>
        <w:tc>
          <w:tcPr>
            <w:tcW w:w="170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17369</w:t>
            </w:r>
          </w:p>
        </w:tc>
        <w:tc>
          <w:tcPr>
            <w:tcW w:w="2091" w:type="dxa"/>
          </w:tcPr>
          <w:p w:rsidR="00114244" w:rsidRPr="000952F4" w:rsidRDefault="00114244" w:rsidP="000952F4">
            <w:pPr>
              <w:pStyle w:val="a00"/>
              <w:spacing w:before="0" w:beforeAutospacing="0" w:after="0" w:afterAutospacing="0" w:line="276" w:lineRule="auto"/>
              <w:ind w:firstLine="709"/>
              <w:rPr>
                <w:color w:val="000000" w:themeColor="text1"/>
                <w:sz w:val="22"/>
                <w:szCs w:val="22"/>
              </w:rPr>
            </w:pPr>
            <w:r w:rsidRPr="000952F4">
              <w:rPr>
                <w:color w:val="000000" w:themeColor="text1"/>
                <w:sz w:val="22"/>
                <w:szCs w:val="22"/>
              </w:rPr>
              <w:t>-30,8</w:t>
            </w:r>
          </w:p>
        </w:tc>
      </w:tr>
    </w:tbl>
    <w:p w:rsidR="000952F4" w:rsidRDefault="000952F4" w:rsidP="000952F4">
      <w:pPr>
        <w:pStyle w:val="a5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4244" w:rsidRPr="000952F4" w:rsidRDefault="000952F4" w:rsidP="000952F4">
      <w:pPr>
        <w:pStyle w:val="a5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Таким образом, л</w:t>
      </w:r>
      <w:r w:rsidR="00326C14" w:rsidRPr="000952F4">
        <w:rPr>
          <w:rFonts w:ascii="Times New Roman" w:hAnsi="Times New Roman" w:cs="Times New Roman"/>
          <w:sz w:val="24"/>
          <w:szCs w:val="24"/>
        </w:rPr>
        <w:t xml:space="preserve">идером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326C14" w:rsidRPr="000952F4">
        <w:rPr>
          <w:rFonts w:ascii="Times New Roman" w:hAnsi="Times New Roman" w:cs="Times New Roman"/>
          <w:sz w:val="24"/>
          <w:szCs w:val="24"/>
        </w:rPr>
        <w:t xml:space="preserve"> «Сбербанк страхование жизни»</w:t>
      </w:r>
    </w:p>
    <w:p w:rsidR="00114244" w:rsidRPr="000952F4" w:rsidRDefault="0083661C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Страхование  жизни  и  здоровья  заемщиков  при  потребительском  кредитовании  было  и  пока  остается  единственным  драйвером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>.  Причем  именно  этот  вид  страхования  достался  в  большей  сте</w:t>
      </w:r>
      <w:r w:rsidR="008D3EAF" w:rsidRPr="000952F4">
        <w:rPr>
          <w:rFonts w:ascii="Times New Roman" w:hAnsi="Times New Roman" w:cs="Times New Roman"/>
          <w:sz w:val="24"/>
          <w:szCs w:val="24"/>
        </w:rPr>
        <w:t>пени  «</w:t>
      </w:r>
      <w:proofErr w:type="spellStart"/>
      <w:r w:rsidR="008D3EAF" w:rsidRPr="000952F4">
        <w:rPr>
          <w:rFonts w:ascii="Times New Roman" w:hAnsi="Times New Roman" w:cs="Times New Roman"/>
          <w:sz w:val="24"/>
          <w:szCs w:val="24"/>
        </w:rPr>
        <w:t>кэптивным</w:t>
      </w:r>
      <w:proofErr w:type="spellEnd"/>
      <w:r w:rsidR="008D3EAF" w:rsidRPr="000952F4">
        <w:rPr>
          <w:rFonts w:ascii="Times New Roman" w:hAnsi="Times New Roman" w:cs="Times New Roman"/>
          <w:sz w:val="24"/>
          <w:szCs w:val="24"/>
        </w:rPr>
        <w:t>»  страховщикам.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Кэптивные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  страховщики,  т.  е.  страховые  компании,  аффилированные  с  банками,  увеличили  свою  долю  в  сегменте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  </w:t>
      </w:r>
      <w:r w:rsidR="00114244" w:rsidRPr="000952F4">
        <w:rPr>
          <w:rFonts w:ascii="Times New Roman" w:hAnsi="Times New Roman" w:cs="Times New Roman"/>
          <w:sz w:val="24"/>
          <w:szCs w:val="24"/>
        </w:rPr>
        <w:t xml:space="preserve">до 50%. </w:t>
      </w:r>
      <w:r w:rsidR="00114244" w:rsidRPr="000952F4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="000952F4">
        <w:rPr>
          <w:rFonts w:ascii="Times New Roman" w:hAnsi="Times New Roman" w:cs="Times New Roman"/>
          <w:color w:val="333333"/>
          <w:sz w:val="24"/>
          <w:szCs w:val="24"/>
        </w:rPr>
        <w:t>ффилированная</w:t>
      </w:r>
      <w:r w:rsidR="00114244" w:rsidRPr="000952F4">
        <w:rPr>
          <w:rFonts w:ascii="Times New Roman" w:hAnsi="Times New Roman" w:cs="Times New Roman"/>
          <w:color w:val="333333"/>
          <w:sz w:val="24"/>
          <w:szCs w:val="24"/>
        </w:rPr>
        <w:t xml:space="preserve"> ко</w:t>
      </w:r>
      <w:r w:rsidR="000952F4">
        <w:rPr>
          <w:rFonts w:ascii="Times New Roman" w:hAnsi="Times New Roman" w:cs="Times New Roman"/>
          <w:color w:val="333333"/>
          <w:sz w:val="24"/>
          <w:szCs w:val="24"/>
        </w:rPr>
        <w:t>мпания - дочерняя компания, которая</w:t>
      </w:r>
      <w:r w:rsidR="00114244" w:rsidRPr="000952F4">
        <w:rPr>
          <w:rFonts w:ascii="Times New Roman" w:hAnsi="Times New Roman" w:cs="Times New Roman"/>
          <w:color w:val="333333"/>
          <w:sz w:val="24"/>
          <w:szCs w:val="24"/>
        </w:rPr>
        <w:t xml:space="preserve"> является подчиненной другой, материнской компании.</w:t>
      </w:r>
    </w:p>
    <w:p w:rsidR="00AF6E7E" w:rsidRPr="000952F4" w:rsidRDefault="00AF6E7E" w:rsidP="000952F4">
      <w:pPr>
        <w:pStyle w:val="a5"/>
        <w:spacing w:before="0" w:line="360" w:lineRule="auto"/>
        <w:ind w:firstLine="709"/>
        <w:jc w:val="both"/>
        <w:rPr>
          <w:color w:val="333333"/>
          <w:sz w:val="24"/>
          <w:szCs w:val="24"/>
        </w:rPr>
      </w:pPr>
    </w:p>
    <w:p w:rsidR="00AF6E7E" w:rsidRPr="000952F4" w:rsidRDefault="00AF6E7E" w:rsidP="000952F4">
      <w:pPr>
        <w:pStyle w:val="a5"/>
        <w:spacing w:before="0" w:line="360" w:lineRule="auto"/>
        <w:ind w:firstLine="709"/>
        <w:jc w:val="both"/>
        <w:rPr>
          <w:sz w:val="24"/>
          <w:szCs w:val="24"/>
        </w:rPr>
      </w:pPr>
      <w:r w:rsidRPr="000952F4">
        <w:rPr>
          <w:noProof/>
          <w:sz w:val="24"/>
          <w:szCs w:val="24"/>
        </w:rPr>
        <w:drawing>
          <wp:inline distT="0" distB="0" distL="0" distR="0">
            <wp:extent cx="4883429" cy="1565453"/>
            <wp:effectExtent l="19050" t="0" r="12421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3661C" w:rsidRPr="000952F4" w:rsidRDefault="0083661C" w:rsidP="000952F4">
      <w:pPr>
        <w:pStyle w:val="a5"/>
        <w:spacing w:before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952F4">
        <w:rPr>
          <w:sz w:val="24"/>
          <w:szCs w:val="24"/>
          <w:lang w:val="en-US"/>
        </w:rPr>
        <w:t> </w:t>
      </w:r>
      <w:r w:rsidR="00AF6E7E" w:rsidRPr="000952F4">
        <w:rPr>
          <w:rFonts w:ascii="Times New Roman" w:hAnsi="Times New Roman" w:cs="Times New Roman"/>
          <w:sz w:val="24"/>
          <w:szCs w:val="24"/>
        </w:rPr>
        <w:t>Рис</w:t>
      </w:r>
      <w:r w:rsidR="000952F4">
        <w:rPr>
          <w:rFonts w:ascii="Times New Roman" w:hAnsi="Times New Roman" w:cs="Times New Roman"/>
          <w:sz w:val="24"/>
          <w:szCs w:val="24"/>
        </w:rPr>
        <w:t>унок</w:t>
      </w:r>
      <w:r w:rsidR="00AF6E7E" w:rsidRPr="000952F4">
        <w:rPr>
          <w:rFonts w:ascii="Times New Roman" w:hAnsi="Times New Roman" w:cs="Times New Roman"/>
          <w:sz w:val="24"/>
          <w:szCs w:val="24"/>
        </w:rPr>
        <w:t xml:space="preserve"> </w:t>
      </w:r>
      <w:r w:rsid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1</w:t>
      </w:r>
      <w:r w:rsidR="00AF6E7E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 xml:space="preserve">.  Динамика  доли  </w:t>
      </w:r>
      <w:proofErr w:type="spellStart"/>
      <w:r w:rsidR="00AF6E7E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кэптивных</w:t>
      </w:r>
      <w:proofErr w:type="spellEnd"/>
      <w:r w:rsidR="00AF6E7E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 xml:space="preserve">  страховщиков  в  </w:t>
      </w:r>
      <w:proofErr w:type="spellStart"/>
      <w:r w:rsidR="00AF6E7E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банкостраховании</w:t>
      </w:r>
      <w:proofErr w:type="spellEnd"/>
    </w:p>
    <w:p w:rsidR="0083661C" w:rsidRPr="000952F4" w:rsidRDefault="0083661C" w:rsidP="000952F4">
      <w:pPr>
        <w:pStyle w:val="a5"/>
        <w:spacing w:before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C14" w:rsidRPr="000952F4" w:rsidRDefault="00326C14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П</w:t>
      </w:r>
      <w:r w:rsidR="0083661C" w:rsidRPr="000952F4">
        <w:rPr>
          <w:rFonts w:ascii="Times New Roman" w:hAnsi="Times New Roman" w:cs="Times New Roman"/>
          <w:sz w:val="24"/>
          <w:szCs w:val="24"/>
        </w:rPr>
        <w:t xml:space="preserve">роблемы  на  рынке  </w:t>
      </w:r>
      <w:proofErr w:type="spellStart"/>
      <w:r w:rsidR="0083661C"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="0083661C" w:rsidRPr="000952F4">
        <w:rPr>
          <w:rFonts w:ascii="Times New Roman" w:hAnsi="Times New Roman" w:cs="Times New Roman"/>
          <w:sz w:val="24"/>
          <w:szCs w:val="24"/>
        </w:rPr>
        <w:t xml:space="preserve">:  </w:t>
      </w:r>
    </w:p>
    <w:p w:rsidR="00326C14" w:rsidRPr="000952F4" w:rsidRDefault="00326C14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- </w:t>
      </w:r>
      <w:r w:rsidR="0083661C" w:rsidRPr="000952F4">
        <w:rPr>
          <w:rFonts w:ascii="Times New Roman" w:hAnsi="Times New Roman" w:cs="Times New Roman"/>
          <w:sz w:val="24"/>
          <w:szCs w:val="24"/>
        </w:rPr>
        <w:t>уменьшение  количества  страховых  выплат  и  увеличение  количества  обращений  клиентов  в  суд</w:t>
      </w:r>
      <w:r w:rsidRPr="000952F4">
        <w:rPr>
          <w:rFonts w:ascii="Times New Roman" w:hAnsi="Times New Roman" w:cs="Times New Roman"/>
          <w:sz w:val="24"/>
          <w:szCs w:val="24"/>
        </w:rPr>
        <w:t>;</w:t>
      </w:r>
    </w:p>
    <w:p w:rsidR="00326C14" w:rsidRPr="000952F4" w:rsidRDefault="00326C14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- страховые компании</w:t>
      </w:r>
      <w:r w:rsidR="0083661C" w:rsidRPr="000952F4">
        <w:rPr>
          <w:rFonts w:ascii="Times New Roman" w:hAnsi="Times New Roman" w:cs="Times New Roman"/>
          <w:sz w:val="24"/>
          <w:szCs w:val="24"/>
        </w:rPr>
        <w:t>  предлагают  более  низкие  тарифы,  обеспечивая  тем  самым  себ</w:t>
      </w:r>
      <w:r w:rsidRPr="000952F4">
        <w:rPr>
          <w:rFonts w:ascii="Times New Roman" w:hAnsi="Times New Roman" w:cs="Times New Roman"/>
          <w:sz w:val="24"/>
          <w:szCs w:val="24"/>
        </w:rPr>
        <w:t>е  конкурентные  преимущества</w:t>
      </w:r>
      <w:r w:rsidR="00F446EE" w:rsidRPr="000952F4">
        <w:rPr>
          <w:rFonts w:ascii="Times New Roman" w:hAnsi="Times New Roman" w:cs="Times New Roman"/>
          <w:sz w:val="24"/>
          <w:szCs w:val="24"/>
        </w:rPr>
        <w:t>;</w:t>
      </w:r>
    </w:p>
    <w:p w:rsidR="00F446EE" w:rsidRPr="000952F4" w:rsidRDefault="00326C14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- большой размер комиссионных вознаграждений;</w:t>
      </w:r>
      <w:r w:rsidR="0083661C" w:rsidRPr="000952F4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1A19DF" w:rsidRPr="000952F4" w:rsidRDefault="001A19DF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- для удержания  рентабельности  при  высоких  комиссиях  банкам  страховщики  сокращают  страховое  покрытие  либо  увеличивают  премии,  что  ведет  к  удорожанию  полисов;</w:t>
      </w:r>
    </w:p>
    <w:p w:rsidR="001A19DF" w:rsidRPr="000952F4" w:rsidRDefault="001A19DF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- потребители,  которые  отказываются  от  страхования,  сталкиваются  с  существенным  в  ряде  случаев  повышением  ставки  по  кредиту.  К  тому  же  ограниченный  набор  страховщиков,  продукты  которых  аккредитованы  банком,  не  позволяет  заемщикам  выбрать  оптимальный  по  соотношению  цены  и  качества  продукт.</w:t>
      </w:r>
    </w:p>
    <w:p w:rsidR="001A19DF" w:rsidRPr="000952F4" w:rsidRDefault="001A19DF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Возможно  предвидя  такое  развитие  ситуации,  некоторые  страховщики  уже  снижают  долю  кредитного  страхования  и  переносят  упор  в  сотрудничестве  с  банками  на  иные  сегменты,  например,  накопительные  виды  страхования  жизни. </w:t>
      </w:r>
    </w:p>
    <w:p w:rsidR="0083661C" w:rsidRPr="000952F4" w:rsidRDefault="00F446EE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П</w:t>
      </w:r>
      <w:r w:rsidR="0083661C" w:rsidRPr="000952F4">
        <w:rPr>
          <w:rFonts w:ascii="Times New Roman" w:hAnsi="Times New Roman" w:cs="Times New Roman"/>
          <w:sz w:val="24"/>
          <w:szCs w:val="24"/>
        </w:rPr>
        <w:t>родажа  страховых  полисов 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приносит  банкам </w:t>
      </w:r>
      <w:r w:rsidR="0083661C" w:rsidRPr="000952F4">
        <w:rPr>
          <w:rFonts w:ascii="Times New Roman" w:hAnsi="Times New Roman" w:cs="Times New Roman"/>
          <w:sz w:val="24"/>
          <w:szCs w:val="24"/>
        </w:rPr>
        <w:t>  до  10  %  всех  доходов.</w:t>
      </w:r>
    </w:p>
    <w:p w:rsidR="00F446EE" w:rsidRPr="000952F4" w:rsidRDefault="00F446EE" w:rsidP="000952F4">
      <w:pPr>
        <w:pStyle w:val="a5"/>
        <w:spacing w:before="0" w:line="36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</w:p>
    <w:p w:rsidR="0083661C" w:rsidRPr="000952F4" w:rsidRDefault="0083661C" w:rsidP="000952F4">
      <w:pPr>
        <w:pStyle w:val="a5"/>
        <w:spacing w:before="0" w:line="36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lastRenderedPageBreak/>
        <w:t>Размер  комиссионных  вознаграждений,  уплачиваемых</w:t>
      </w:r>
      <w:r w:rsidR="00F446EE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> </w:t>
      </w:r>
      <w:r w:rsidR="005A7B6A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страховыми компаниями </w:t>
      </w:r>
      <w:r w:rsidR="00F446EE"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>  банкам  в  2014</w:t>
      </w:r>
      <w:r w:rsidRPr="000952F4">
        <w:rPr>
          <w:rStyle w:val="a6"/>
          <w:rFonts w:ascii="Times New Roman" w:hAnsi="Times New Roman" w:cs="Times New Roman"/>
          <w:b w:val="0"/>
          <w:sz w:val="24"/>
          <w:szCs w:val="24"/>
        </w:rPr>
        <w:t>  году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5493"/>
      </w:tblGrid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Вид  страхования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Отношение  величины  вознаграждения  кредитным  организациям  к  величине  взносов,  полученных  от  кредитных  организаций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Страхование  жизни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Страхование  от  НС  и  болезней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  </w:t>
            </w:r>
            <w:proofErr w:type="spellStart"/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автокаско</w:t>
            </w:r>
            <w:proofErr w:type="spellEnd"/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  страхование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Страхование  имущества  юр</w:t>
            </w:r>
            <w:r w:rsidR="005A7B6A" w:rsidRPr="000952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  лиц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F446EE" w:rsidRPr="000952F4" w:rsidTr="00F446EE">
        <w:tc>
          <w:tcPr>
            <w:tcW w:w="3969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Страхование   имущества  граждан</w:t>
            </w:r>
          </w:p>
        </w:tc>
        <w:tc>
          <w:tcPr>
            <w:tcW w:w="5493" w:type="dxa"/>
            <w:vAlign w:val="center"/>
          </w:tcPr>
          <w:p w:rsidR="00F446EE" w:rsidRPr="000952F4" w:rsidRDefault="00F446EE" w:rsidP="00DD6F1A">
            <w:pPr>
              <w:pStyle w:val="a5"/>
              <w:spacing w:before="0"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952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952F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tbl>
      <w:tblPr>
        <w:tblW w:w="6887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2940"/>
      </w:tblGrid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83661C" w:rsidRPr="000952F4" w:rsidTr="008120FD">
        <w:trPr>
          <w:tblCellSpacing w:w="0" w:type="dxa"/>
          <w:jc w:val="center"/>
        </w:trPr>
        <w:tc>
          <w:tcPr>
            <w:tcW w:w="3947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2940" w:type="dxa"/>
            <w:vAlign w:val="center"/>
            <w:hideMark/>
          </w:tcPr>
          <w:p w:rsidR="0083661C" w:rsidRPr="000952F4" w:rsidRDefault="0083661C" w:rsidP="000952F4">
            <w:pPr>
              <w:pStyle w:val="a5"/>
              <w:spacing w:before="0" w:line="360" w:lineRule="auto"/>
              <w:ind w:firstLine="709"/>
              <w:jc w:val="center"/>
              <w:rPr>
                <w:sz w:val="24"/>
                <w:szCs w:val="24"/>
              </w:rPr>
            </w:pPr>
          </w:p>
        </w:tc>
      </w:tr>
    </w:tbl>
    <w:p w:rsidR="008120FD" w:rsidRPr="000952F4" w:rsidRDefault="0083661C" w:rsidP="000952F4">
      <w:pPr>
        <w:pStyle w:val="a5"/>
        <w:spacing w:before="0" w:line="360" w:lineRule="auto"/>
        <w:ind w:firstLine="709"/>
        <w:rPr>
          <w:sz w:val="24"/>
          <w:szCs w:val="24"/>
        </w:rPr>
      </w:pPr>
      <w:r w:rsidRPr="000952F4">
        <w:rPr>
          <w:sz w:val="24"/>
          <w:szCs w:val="24"/>
          <w:lang w:val="en-US"/>
        </w:rPr>
        <w:t> </w:t>
      </w:r>
    </w:p>
    <w:p w:rsidR="005A7B6A" w:rsidRPr="000952F4" w:rsidRDefault="0083661C" w:rsidP="000952F4">
      <w:pPr>
        <w:pStyle w:val="a5"/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Таким  образом,  в  настоящее  время  банковский  канал  продаж  для  страховщиков  самый  дорогой.  </w:t>
      </w:r>
      <w:r w:rsidR="00C411B3" w:rsidRPr="000952F4">
        <w:rPr>
          <w:rFonts w:ascii="Times New Roman" w:hAnsi="Times New Roman" w:cs="Times New Roman"/>
          <w:sz w:val="24"/>
          <w:szCs w:val="24"/>
        </w:rPr>
        <w:t>В  ср</w:t>
      </w:r>
      <w:r w:rsidR="008120FD" w:rsidRPr="000952F4">
        <w:rPr>
          <w:rFonts w:ascii="Times New Roman" w:hAnsi="Times New Roman" w:cs="Times New Roman"/>
          <w:sz w:val="24"/>
          <w:szCs w:val="24"/>
        </w:rPr>
        <w:t>еднем  за  полугодие  201</w:t>
      </w:r>
      <w:r w:rsidR="00C411B3" w:rsidRPr="000952F4">
        <w:rPr>
          <w:rFonts w:ascii="Times New Roman" w:hAnsi="Times New Roman" w:cs="Times New Roman"/>
          <w:sz w:val="24"/>
          <w:szCs w:val="24"/>
        </w:rPr>
        <w:t>4 год</w:t>
      </w:r>
      <w:r w:rsidR="008120FD" w:rsidRPr="000952F4">
        <w:rPr>
          <w:rFonts w:ascii="Times New Roman" w:hAnsi="Times New Roman" w:cs="Times New Roman"/>
          <w:sz w:val="24"/>
          <w:szCs w:val="24"/>
        </w:rPr>
        <w:t>а</w:t>
      </w:r>
      <w:r w:rsidRPr="000952F4">
        <w:rPr>
          <w:rFonts w:ascii="Times New Roman" w:hAnsi="Times New Roman" w:cs="Times New Roman"/>
          <w:sz w:val="24"/>
          <w:szCs w:val="24"/>
        </w:rPr>
        <w:t xml:space="preserve"> комиссии  банков  достигли  46  %  от  собранной  премии.  Агентам  страховщики  отдали  в  качестве  вознаграждения  31  %  от  премии,  автодилерам  —  19  %.  «Почта  России»  берет  со  страховщиков  за  агентские  услуги  13  %,  медицинские  учреждения  —  лишь  3  %.  А  продажи  полисов  через  интернет  (всего  —  983  млн.  руб.)  не  стоят  почти  ничего</w:t>
      </w:r>
      <w:r w:rsidR="008120FD" w:rsidRPr="000952F4">
        <w:rPr>
          <w:rFonts w:ascii="Times New Roman" w:hAnsi="Times New Roman" w:cs="Times New Roman"/>
          <w:sz w:val="24"/>
          <w:szCs w:val="24"/>
        </w:rPr>
        <w:t>.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</w:t>
      </w:r>
      <w:r w:rsidR="008120FD" w:rsidRPr="000952F4">
        <w:rPr>
          <w:rFonts w:ascii="Times New Roman" w:hAnsi="Times New Roman" w:cs="Times New Roman"/>
          <w:sz w:val="24"/>
          <w:szCs w:val="24"/>
        </w:rPr>
        <w:t xml:space="preserve">Текущий  уровень  комиссий,  которые  </w:t>
      </w:r>
      <w:proofErr w:type="gramStart"/>
      <w:r w:rsidR="008120FD" w:rsidRPr="000952F4">
        <w:rPr>
          <w:rFonts w:ascii="Times New Roman" w:hAnsi="Times New Roman" w:cs="Times New Roman"/>
          <w:sz w:val="24"/>
          <w:szCs w:val="24"/>
        </w:rPr>
        <w:t>уплачивают  страховые  компании  банкам  слишком  велик</w:t>
      </w:r>
      <w:proofErr w:type="gramEnd"/>
      <w:r w:rsidR="008120FD" w:rsidRPr="000952F4">
        <w:rPr>
          <w:rFonts w:ascii="Times New Roman" w:hAnsi="Times New Roman" w:cs="Times New Roman"/>
          <w:sz w:val="24"/>
          <w:szCs w:val="24"/>
        </w:rPr>
        <w:t>,  и  растет  быстрее  рынка.</w:t>
      </w:r>
    </w:p>
    <w:p w:rsidR="0083661C" w:rsidRPr="000952F4" w:rsidRDefault="0083661C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Достаточно  успешными  я</w:t>
      </w:r>
      <w:r w:rsidR="00C411B3" w:rsidRPr="000952F4">
        <w:rPr>
          <w:rFonts w:ascii="Times New Roman" w:hAnsi="Times New Roman" w:cs="Times New Roman"/>
          <w:sz w:val="24"/>
          <w:szCs w:val="24"/>
        </w:rPr>
        <w:t>вляются  продажи  банками  КАСКО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в  пакете  с  автокредитами  и  страхования  жизни  и  здоровья  —  </w:t>
      </w:r>
      <w:r w:rsidR="005A7B6A" w:rsidRPr="000952F4">
        <w:rPr>
          <w:rFonts w:ascii="Times New Roman" w:hAnsi="Times New Roman" w:cs="Times New Roman"/>
          <w:sz w:val="24"/>
          <w:szCs w:val="24"/>
        </w:rPr>
        <w:t xml:space="preserve">с  потребительскими  кредитами. </w:t>
      </w:r>
    </w:p>
    <w:p w:rsidR="0083661C" w:rsidRPr="000952F4" w:rsidRDefault="0083661C" w:rsidP="000952F4">
      <w:pPr>
        <w:pStyle w:val="a5"/>
        <w:spacing w:before="0" w:line="360" w:lineRule="auto"/>
        <w:ind w:firstLine="709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 </w:t>
      </w:r>
      <w:r w:rsidR="00C411B3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 xml:space="preserve">Структура  </w:t>
      </w:r>
      <w:proofErr w:type="spellStart"/>
      <w:r w:rsidR="00C411B3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банкострахования</w:t>
      </w:r>
      <w:proofErr w:type="spellEnd"/>
      <w:r w:rsidR="00C411B3" w:rsidRP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  в  2013—2014  гг. </w:t>
      </w:r>
      <w:r w:rsidR="000952F4">
        <w:rPr>
          <w:rStyle w:val="a6"/>
          <w:rFonts w:ascii="Times New Roman" w:hAnsi="Times New Roman" w:cs="Times New Roman"/>
          <w:b w:val="0"/>
          <w:iCs/>
          <w:sz w:val="24"/>
          <w:szCs w:val="24"/>
        </w:rPr>
        <w:t>представлена на диаграмме</w:t>
      </w:r>
    </w:p>
    <w:p w:rsidR="00C411B3" w:rsidRPr="000952F4" w:rsidRDefault="00C411B3" w:rsidP="000952F4">
      <w:pPr>
        <w:pStyle w:val="a5"/>
        <w:spacing w:before="0" w:line="360" w:lineRule="auto"/>
        <w:ind w:firstLine="709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</w:p>
    <w:p w:rsidR="00C411B3" w:rsidRPr="000952F4" w:rsidRDefault="008120FD" w:rsidP="000952F4">
      <w:pPr>
        <w:pStyle w:val="a5"/>
        <w:spacing w:before="0" w:line="360" w:lineRule="auto"/>
        <w:ind w:firstLine="709"/>
        <w:rPr>
          <w:rStyle w:val="a6"/>
          <w:rFonts w:ascii="Times New Roman" w:hAnsi="Times New Roman" w:cs="Times New Roman"/>
          <w:b w:val="0"/>
          <w:iCs/>
          <w:sz w:val="24"/>
          <w:szCs w:val="24"/>
        </w:rPr>
      </w:pPr>
      <w:r w:rsidRPr="000952F4">
        <w:rPr>
          <w:rFonts w:ascii="Times New Roman" w:hAnsi="Times New Roman" w:cs="Times New Roman"/>
          <w:bCs/>
          <w:iCs/>
          <w:noProof/>
          <w:sz w:val="24"/>
          <w:szCs w:val="24"/>
        </w:rPr>
        <w:drawing>
          <wp:inline distT="0" distB="0" distL="0" distR="0">
            <wp:extent cx="5452720" cy="1931212"/>
            <wp:effectExtent l="19050" t="0" r="1463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411B3" w:rsidRPr="000952F4" w:rsidRDefault="00C411B3" w:rsidP="000952F4">
      <w:pPr>
        <w:pStyle w:val="a5"/>
        <w:spacing w:before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3661C" w:rsidRPr="000952F4" w:rsidRDefault="0083661C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Частично  изменить  ситуацию  и,  возможно,  сдержать  рост  банковских  комиссий  должен  закон  «О  потребительском  кредитовании»,  который  вс</w:t>
      </w:r>
      <w:r w:rsidR="001A19DF" w:rsidRPr="000952F4">
        <w:rPr>
          <w:rFonts w:ascii="Times New Roman" w:hAnsi="Times New Roman" w:cs="Times New Roman"/>
          <w:sz w:val="24"/>
          <w:szCs w:val="24"/>
        </w:rPr>
        <w:t>тупил</w:t>
      </w:r>
      <w:r w:rsidRPr="000952F4">
        <w:rPr>
          <w:rFonts w:ascii="Times New Roman" w:hAnsi="Times New Roman" w:cs="Times New Roman"/>
          <w:sz w:val="24"/>
          <w:szCs w:val="24"/>
        </w:rPr>
        <w:t>  в  силу  с  1  июля  2014  года</w:t>
      </w:r>
      <w:r w:rsidR="00812772" w:rsidRPr="000952F4">
        <w:rPr>
          <w:rFonts w:ascii="Times New Roman" w:hAnsi="Times New Roman" w:cs="Times New Roman"/>
          <w:sz w:val="24"/>
          <w:szCs w:val="24"/>
        </w:rPr>
        <w:t>.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Он  обяжет  банки  спрашивать  согласие  заемщика  на  страховую  защиту  и  </w:t>
      </w:r>
      <w:r w:rsidRPr="000952F4">
        <w:rPr>
          <w:rFonts w:ascii="Times New Roman" w:hAnsi="Times New Roman" w:cs="Times New Roman"/>
          <w:sz w:val="24"/>
          <w:szCs w:val="24"/>
        </w:rPr>
        <w:lastRenderedPageBreak/>
        <w:t>раскрывать  эффективную  ставку  в  договоре.  Банки-агенты  не  смогут  выступать  выгодоприобретателями  по  полисам,</w:t>
      </w:r>
      <w:r w:rsidR="001728BF" w:rsidRPr="000952F4">
        <w:rPr>
          <w:rFonts w:ascii="Times New Roman" w:hAnsi="Times New Roman" w:cs="Times New Roman"/>
          <w:sz w:val="24"/>
          <w:szCs w:val="24"/>
        </w:rPr>
        <w:t>  которые  они  продают.  П</w:t>
      </w:r>
      <w:r w:rsidRPr="000952F4">
        <w:rPr>
          <w:rFonts w:ascii="Times New Roman" w:hAnsi="Times New Roman" w:cs="Times New Roman"/>
          <w:sz w:val="24"/>
          <w:szCs w:val="24"/>
        </w:rPr>
        <w:t>о  мнению  страховщиков,  это  усложнит  схемы  взаимодействия  между  ними  и  банками  и  в  итоге  обернется  удорожанием  продукта  для  клиента.</w:t>
      </w:r>
    </w:p>
    <w:p w:rsidR="00DD6F1A" w:rsidRDefault="0083661C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Также,  после  вступления  в  силу  21  января  2014  г.  поправок  к  закону  «О  внесении  изменений  в  закон  о  страховом  деле»  банки,  как  страховые  агенты,  обязаны  раскрывать  потребителям  размер  своего  вознаграждения  от  стра</w:t>
      </w:r>
      <w:r w:rsidR="001728BF" w:rsidRPr="000952F4">
        <w:rPr>
          <w:rFonts w:ascii="Times New Roman" w:hAnsi="Times New Roman" w:cs="Times New Roman"/>
          <w:sz w:val="24"/>
          <w:szCs w:val="24"/>
        </w:rPr>
        <w:t xml:space="preserve">ховщика. </w:t>
      </w:r>
    </w:p>
    <w:p w:rsidR="0083661C" w:rsidRPr="000952F4" w:rsidRDefault="00CE611A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Банки  </w:t>
      </w:r>
      <w:r w:rsidR="0083661C" w:rsidRPr="000952F4">
        <w:rPr>
          <w:rFonts w:ascii="Times New Roman" w:hAnsi="Times New Roman" w:cs="Times New Roman"/>
          <w:sz w:val="24"/>
          <w:szCs w:val="24"/>
        </w:rPr>
        <w:t xml:space="preserve">  могут  компенсировать  возможное  снижение  комиссионного  дохода  путем  наращивания  портфелей,  ведь  смысл  банковского  бизнеса  все-таки  не  в  получении  комиссии  от  договоров  страхования,  она  лишь  дополнительный  источник  дохода.  </w:t>
      </w:r>
    </w:p>
    <w:p w:rsidR="00812772" w:rsidRPr="000952F4" w:rsidRDefault="0083661C" w:rsidP="000952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52F4">
        <w:rPr>
          <w:rFonts w:ascii="Times New Roman" w:hAnsi="Times New Roman" w:cs="Times New Roman"/>
          <w:sz w:val="24"/>
          <w:szCs w:val="24"/>
        </w:rPr>
        <w:t> </w:t>
      </w:r>
      <w:r w:rsidR="00812772"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Согласно действующему закону </w:t>
      </w:r>
      <w:r w:rsidR="00812772" w:rsidRPr="000952F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страхование жизни и здоровья заемщика возможно лишь при его желании</w:t>
      </w:r>
      <w:r w:rsidR="00812772" w:rsidRPr="000952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тогда как залоговое обеспечение подлежит страхованию в обязательном порядке. </w:t>
      </w:r>
    </w:p>
    <w:p w:rsidR="0083661C" w:rsidRPr="000952F4" w:rsidRDefault="00812772" w:rsidP="000952F4">
      <w:pPr>
        <w:pStyle w:val="a5"/>
        <w:spacing w:before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color w:val="333333"/>
          <w:sz w:val="24"/>
          <w:szCs w:val="24"/>
        </w:rPr>
        <w:t>Многие банки, в сущности, навязывают своим клиентам все виды страхования. Однако страхование приобретаемой недвижимости или транспортного средства, выступающего залоговым обеспечением для банка, выгодно и самим заемщикам</w:t>
      </w:r>
      <w:r w:rsidR="00CE611A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DD6F1A" w:rsidRDefault="00DD6F1A" w:rsidP="000952F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A64" w:rsidRPr="00DD6F1A" w:rsidRDefault="000D7A64" w:rsidP="000952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6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литературы:</w:t>
      </w:r>
    </w:p>
    <w:p w:rsidR="000D7A64" w:rsidRPr="000952F4" w:rsidRDefault="000D7A64" w:rsidP="00CE611A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Ахмедов Ф.Н., Алиев У.И.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рынка </w:t>
      </w:r>
      <w:proofErr w:type="spellStart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банкострахования</w:t>
      </w:r>
      <w:proofErr w:type="spellEnd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в современных условиях // Финансы и кредит. 2013. № 4. С. 68–72.</w:t>
      </w:r>
    </w:p>
    <w:p w:rsidR="000D7A64" w:rsidRPr="000952F4" w:rsidRDefault="000D7A64" w:rsidP="00CE611A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Базелюк</w:t>
      </w:r>
      <w:proofErr w:type="spellEnd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И.А.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Построение финансовых супермаркетов. 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URL: http://http://www.lawmix.ru/bux/66202.</w:t>
      </w:r>
    </w:p>
    <w:p w:rsidR="000D7A64" w:rsidRPr="000952F4" w:rsidRDefault="000D7A64" w:rsidP="00CE611A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Бочарев</w:t>
      </w:r>
      <w:proofErr w:type="spellEnd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Е.Н., </w:t>
      </w:r>
      <w:proofErr w:type="spellStart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Мизгулин</w:t>
      </w:r>
      <w:proofErr w:type="spellEnd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Д.А.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Взаимодействие кредитных и стра</w:t>
      </w:r>
      <w:r w:rsidR="00812772"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ховых организаций. М.: Гарт. 201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672 с.</w:t>
      </w:r>
    </w:p>
    <w:p w:rsidR="000D7A64" w:rsidRPr="000952F4" w:rsidRDefault="000D7A64" w:rsidP="00CE611A">
      <w:pPr>
        <w:pStyle w:val="a4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Донецкова</w:t>
      </w:r>
      <w:proofErr w:type="spellEnd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О.Ю., </w:t>
      </w:r>
      <w:proofErr w:type="spellStart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Помогаева</w:t>
      </w:r>
      <w:proofErr w:type="spellEnd"/>
      <w:r w:rsidRPr="000952F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Е.А.</w:t>
      </w:r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Банкострахование</w:t>
      </w:r>
      <w:proofErr w:type="spellEnd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учеб</w:t>
      </w:r>
      <w:proofErr w:type="gramStart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особие. М.: </w:t>
      </w:r>
      <w:proofErr w:type="spellStart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</w:t>
      </w:r>
      <w:proofErr w:type="spellEnd"/>
      <w:r w:rsidRPr="00095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-Медиа, 2013. 84 с.</w:t>
      </w:r>
    </w:p>
    <w:p w:rsidR="0083661C" w:rsidRPr="000952F4" w:rsidRDefault="0083661C" w:rsidP="00CE611A">
      <w:pPr>
        <w:pStyle w:val="a5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Рынок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банкострахования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 xml:space="preserve">:  перезагрузка  /  О.  Басова,  А.  Янин,  П.  </w:t>
      </w:r>
      <w:proofErr w:type="spellStart"/>
      <w:r w:rsidRPr="000952F4">
        <w:rPr>
          <w:rFonts w:ascii="Times New Roman" w:hAnsi="Times New Roman" w:cs="Times New Roman"/>
          <w:sz w:val="24"/>
          <w:szCs w:val="24"/>
        </w:rPr>
        <w:t>Самиев</w:t>
      </w:r>
      <w:proofErr w:type="spellEnd"/>
      <w:r w:rsidRPr="000952F4">
        <w:rPr>
          <w:rFonts w:ascii="Times New Roman" w:hAnsi="Times New Roman" w:cs="Times New Roman"/>
          <w:sz w:val="24"/>
          <w:szCs w:val="24"/>
        </w:rPr>
        <w:t>  /  Рейтинговое </w:t>
      </w:r>
      <w:r w:rsidR="00CE611A">
        <w:rPr>
          <w:rFonts w:ascii="Times New Roman" w:hAnsi="Times New Roman" w:cs="Times New Roman"/>
          <w:sz w:val="24"/>
          <w:szCs w:val="24"/>
        </w:rPr>
        <w:t xml:space="preserve"> агентство  «Эксперт  РА»,  2012</w:t>
      </w:r>
      <w:r w:rsidRPr="000952F4">
        <w:rPr>
          <w:rFonts w:ascii="Times New Roman" w:hAnsi="Times New Roman" w:cs="Times New Roman"/>
          <w:sz w:val="24"/>
          <w:szCs w:val="24"/>
        </w:rPr>
        <w:t xml:space="preserve">  г.  —  3  с.  </w:t>
      </w:r>
    </w:p>
    <w:p w:rsidR="001728BF" w:rsidRPr="000952F4" w:rsidRDefault="0083661C" w:rsidP="00CE611A">
      <w:pPr>
        <w:pStyle w:val="a5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952F4">
        <w:rPr>
          <w:rFonts w:ascii="Times New Roman" w:hAnsi="Times New Roman" w:cs="Times New Roman"/>
          <w:sz w:val="24"/>
          <w:szCs w:val="24"/>
        </w:rPr>
        <w:t xml:space="preserve">Федеральный  Закон  РФ  №  353-ФЗ  от  21.12.2013  г.  «О  потребительском  кредите  (займе)»  [Электронный  ресурс]  —  Режим  доступа.  </w:t>
      </w:r>
      <w:r w:rsidRPr="000952F4">
        <w:rPr>
          <w:rFonts w:ascii="Times New Roman" w:hAnsi="Times New Roman" w:cs="Times New Roman"/>
          <w:sz w:val="24"/>
          <w:szCs w:val="24"/>
          <w:lang w:val="en-US"/>
        </w:rPr>
        <w:t xml:space="preserve">—  URL:  </w:t>
      </w:r>
      <w:hyperlink r:id="rId17" w:history="1">
        <w:r w:rsidRPr="000952F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http://base.consultant.ru/cons/cgi/online.cgi?req=doc;base=LAW;n=155986</w:t>
        </w:r>
      </w:hyperlink>
      <w:r w:rsidRPr="000952F4">
        <w:rPr>
          <w:rFonts w:ascii="Times New Roman" w:hAnsi="Times New Roman" w:cs="Times New Roman"/>
          <w:sz w:val="24"/>
          <w:szCs w:val="24"/>
          <w:lang w:val="en-US"/>
        </w:rPr>
        <w:t xml:space="preserve">  </w:t>
      </w:r>
    </w:p>
    <w:p w:rsidR="0083661C" w:rsidRPr="000952F4" w:rsidRDefault="0083661C" w:rsidP="00CE611A">
      <w:pPr>
        <w:pStyle w:val="a5"/>
        <w:numPr>
          <w:ilvl w:val="0"/>
          <w:numId w:val="5"/>
        </w:numPr>
        <w:tabs>
          <w:tab w:val="left" w:pos="993"/>
        </w:tabs>
        <w:spacing w:before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952F4">
        <w:rPr>
          <w:rFonts w:ascii="Times New Roman" w:hAnsi="Times New Roman" w:cs="Times New Roman"/>
          <w:sz w:val="24"/>
          <w:szCs w:val="24"/>
        </w:rPr>
        <w:t>Федеральный  Закон  РФ  №  234-ФЗ  от  23.07.2013  г.  «О  внесении  изменений  в  закон  «Об  организации  страхового  дела  в  РФ»  [электронный  ресурс]  —  Режим  доступа.  —  URL:  ttp://www.consultant.ru/document/cons_doc_LAW_157042</w:t>
      </w:r>
    </w:p>
    <w:p w:rsidR="0083661C" w:rsidRPr="000952F4" w:rsidRDefault="0083661C" w:rsidP="00CE611A">
      <w:pPr>
        <w:pStyle w:val="a5"/>
        <w:tabs>
          <w:tab w:val="left" w:pos="993"/>
        </w:tabs>
        <w:spacing w:before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F5A05" w:rsidRPr="000952F4" w:rsidRDefault="00CF5A05" w:rsidP="000952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5A05" w:rsidRPr="000952F4" w:rsidRDefault="00CF5A05" w:rsidP="000952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F5A05" w:rsidRPr="000952F4" w:rsidRDefault="00CF5A05" w:rsidP="000952F4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F5A05" w:rsidRPr="000952F4" w:rsidSect="000952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6414"/>
    <w:multiLevelType w:val="multilevel"/>
    <w:tmpl w:val="35B85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51EDD"/>
    <w:multiLevelType w:val="multilevel"/>
    <w:tmpl w:val="8AD82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3E3FB6"/>
    <w:multiLevelType w:val="hybridMultilevel"/>
    <w:tmpl w:val="B6EC133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86A464B"/>
    <w:multiLevelType w:val="multilevel"/>
    <w:tmpl w:val="C2C47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6236A9"/>
    <w:multiLevelType w:val="hybridMultilevel"/>
    <w:tmpl w:val="F0FCA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B43"/>
    <w:rsid w:val="00035A20"/>
    <w:rsid w:val="0006062C"/>
    <w:rsid w:val="000952F4"/>
    <w:rsid w:val="000D7A64"/>
    <w:rsid w:val="000F52CA"/>
    <w:rsid w:val="00114244"/>
    <w:rsid w:val="001728BF"/>
    <w:rsid w:val="001A19DF"/>
    <w:rsid w:val="00293DAE"/>
    <w:rsid w:val="002E58C7"/>
    <w:rsid w:val="00326C14"/>
    <w:rsid w:val="004B5D25"/>
    <w:rsid w:val="005A77DC"/>
    <w:rsid w:val="005A7B6A"/>
    <w:rsid w:val="00605072"/>
    <w:rsid w:val="006657C9"/>
    <w:rsid w:val="006D028C"/>
    <w:rsid w:val="008120FD"/>
    <w:rsid w:val="00812772"/>
    <w:rsid w:val="0083661C"/>
    <w:rsid w:val="00843EC5"/>
    <w:rsid w:val="00876DCD"/>
    <w:rsid w:val="008D3EAF"/>
    <w:rsid w:val="008E3B43"/>
    <w:rsid w:val="009970D4"/>
    <w:rsid w:val="009B6766"/>
    <w:rsid w:val="00AF6E7E"/>
    <w:rsid w:val="00B21497"/>
    <w:rsid w:val="00B97DC5"/>
    <w:rsid w:val="00BE4F0C"/>
    <w:rsid w:val="00C411B3"/>
    <w:rsid w:val="00C526DE"/>
    <w:rsid w:val="00C6789E"/>
    <w:rsid w:val="00CE611A"/>
    <w:rsid w:val="00CF5A05"/>
    <w:rsid w:val="00D1712C"/>
    <w:rsid w:val="00DD3805"/>
    <w:rsid w:val="00DD6F1A"/>
    <w:rsid w:val="00DE1E7C"/>
    <w:rsid w:val="00E077FF"/>
    <w:rsid w:val="00E740AA"/>
    <w:rsid w:val="00ED41BD"/>
    <w:rsid w:val="00F0161E"/>
    <w:rsid w:val="00F446EE"/>
    <w:rsid w:val="00F6256B"/>
    <w:rsid w:val="00F9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CA"/>
  </w:style>
  <w:style w:type="paragraph" w:styleId="2">
    <w:name w:val="heading 2"/>
    <w:basedOn w:val="a"/>
    <w:link w:val="20"/>
    <w:uiPriority w:val="9"/>
    <w:qFormat/>
    <w:rsid w:val="00CF5A05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paragraph" w:styleId="3">
    <w:name w:val="heading 3"/>
    <w:basedOn w:val="a"/>
    <w:link w:val="30"/>
    <w:uiPriority w:val="9"/>
    <w:qFormat/>
    <w:rsid w:val="00CF5A05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43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4">
    <w:name w:val="List Paragraph"/>
    <w:basedOn w:val="a"/>
    <w:uiPriority w:val="34"/>
    <w:qFormat/>
    <w:rsid w:val="00F0161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43EC5"/>
    <w:pPr>
      <w:spacing w:before="75"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43EC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F5A05"/>
    <w:rPr>
      <w:rFonts w:ascii="inherit" w:eastAsia="Times New Roman" w:hAnsi="inherit" w:cs="Times New Roman"/>
      <w:sz w:val="45"/>
      <w:szCs w:val="45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5A05"/>
    <w:rPr>
      <w:rFonts w:ascii="inherit" w:eastAsia="Times New Roman" w:hAnsi="inherit" w:cs="Times New Roman"/>
      <w:sz w:val="36"/>
      <w:szCs w:val="36"/>
      <w:lang w:eastAsia="ru-RU"/>
    </w:rPr>
  </w:style>
  <w:style w:type="paragraph" w:customStyle="1" w:styleId="special">
    <w:name w:val="special"/>
    <w:basedOn w:val="a"/>
    <w:rsid w:val="00CF5A0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A0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05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0">
    <w:name w:val="a1"/>
    <w:basedOn w:val="a"/>
    <w:rsid w:val="00BE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E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BE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BE4F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18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23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322">
                      <w:marLeft w:val="0"/>
                      <w:marRight w:val="0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6386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298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288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7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26255">
                              <w:blockQuote w:val="1"/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2051">
                              <w:blockQuote w:val="1"/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8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27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53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72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89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1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46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84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62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6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68666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32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8117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4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1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8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8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76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5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54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89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92629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84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52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9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2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35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23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89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25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450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2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41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3794">
                      <w:marLeft w:val="0"/>
                      <w:marRight w:val="0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861075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66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37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6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6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411900">
      <w:bodyDiv w:val="1"/>
      <w:marLeft w:val="0"/>
      <w:marRight w:val="0"/>
      <w:marTop w:val="8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07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007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ur-info.ru/press/113297/" TargetMode="External"/><Relationship Id="rId13" Type="http://schemas.openxmlformats.org/officeDocument/2006/relationships/hyperlink" Target="http://wiki-ins.ru/wiki/&#1056;&#1045;&#1057;&#1054;-&#1043;&#1072;&#1088;&#1072;&#1085;&#1090;&#1080;&#1103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sur-info.ru/press/113290/" TargetMode="External"/><Relationship Id="rId12" Type="http://schemas.openxmlformats.org/officeDocument/2006/relationships/hyperlink" Target="http://wiki-ins.ru/wiki/&#1052;&#1040;&#1050;&#1057;" TargetMode="External"/><Relationship Id="rId17" Type="http://schemas.openxmlformats.org/officeDocument/2006/relationships/hyperlink" Target="http://base.consultant.ru/cons/cgi/online.cgi?req=doc;base=LAW;n=155986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ki-ins.ru/wiki/&#1042;&#1057;&#1050;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10" Type="http://schemas.openxmlformats.org/officeDocument/2006/relationships/hyperlink" Target="http://wiki-ins.ru/wiki/&#1040;&#1083;&#1100;&#1092;&#1072;&#1057;&#1090;&#1088;&#1072;&#1093;&#1086;&#1074;&#1072;&#1085;&#1080;&#1077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://wiki-ins.ru/wiki/&#1057;&#1086;&#1075;&#1083;&#1072;&#1089;&#1080;&#1077;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3"/>
                <c:pt idx="0">
                  <c:v>Розничное БС    83,0</c:v>
                </c:pt>
                <c:pt idx="1">
                  <c:v>Страх юр.лиц         11,0</c:v>
                </c:pt>
                <c:pt idx="2">
                  <c:v>Страх рисков банка 6,0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83</c:v>
                </c:pt>
                <c:pt idx="1">
                  <c:v>11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СК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2012г</c:v>
                </c:pt>
                <c:pt idx="1">
                  <c:v>2013г</c:v>
                </c:pt>
                <c:pt idx="2">
                  <c:v>2014г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72</c:v>
                </c:pt>
                <c:pt idx="1">
                  <c:v>63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Доля кэптивных СК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2012г</c:v>
                </c:pt>
                <c:pt idx="1">
                  <c:v>2013г</c:v>
                </c:pt>
                <c:pt idx="2">
                  <c:v>2014г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29</c:v>
                </c:pt>
                <c:pt idx="1">
                  <c:v>37</c:v>
                </c:pt>
                <c:pt idx="2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0915328"/>
        <c:axId val="190916864"/>
      </c:barChart>
      <c:catAx>
        <c:axId val="190915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90916864"/>
        <c:crosses val="autoZero"/>
        <c:auto val="1"/>
        <c:lblAlgn val="ctr"/>
        <c:lblOffset val="100"/>
        <c:noMultiLvlLbl val="0"/>
      </c:catAx>
      <c:valAx>
        <c:axId val="190916864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909153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2014год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КАСКО</c:v>
                </c:pt>
                <c:pt idx="1">
                  <c:v>СЖ заемщика потребкредита</c:v>
                </c:pt>
                <c:pt idx="2">
                  <c:v>Ипотечное страх</c:v>
                </c:pt>
                <c:pt idx="3">
                  <c:v>Страх банк.рисков</c:v>
                </c:pt>
                <c:pt idx="4">
                  <c:v>Др.виды страх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37.300000000000004</c:v>
                </c:pt>
                <c:pt idx="1">
                  <c:v>30.9</c:v>
                </c:pt>
                <c:pt idx="2">
                  <c:v>13.5</c:v>
                </c:pt>
                <c:pt idx="3">
                  <c:v>6.3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23096-1529-4CB8-A192-3BBDB803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18</cp:revision>
  <dcterms:created xsi:type="dcterms:W3CDTF">2016-01-28T15:14:00Z</dcterms:created>
  <dcterms:modified xsi:type="dcterms:W3CDTF">2018-01-08T13:42:00Z</dcterms:modified>
</cp:coreProperties>
</file>