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E2" w:rsidRDefault="009125E2">
      <w:p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Задания для участия во всероссийском конкурсе студенческих научных на призы СК «Росгосстрах»</w:t>
      </w:r>
    </w:p>
    <w:p w:rsidR="00955A5E" w:rsidRPr="009125E2" w:rsidRDefault="009125E2">
      <w:pPr>
        <w:rPr>
          <w:rFonts w:ascii="Times New Roman" w:hAnsi="Times New Roman"/>
          <w:b/>
          <w:sz w:val="24"/>
          <w:szCs w:val="24"/>
          <w:lang w:eastAsia="ru-RU"/>
        </w:rPr>
      </w:pPr>
      <w:r w:rsidRPr="009125E2">
        <w:rPr>
          <w:rFonts w:ascii="Times New Roman" w:hAnsi="Times New Roman"/>
          <w:b/>
          <w:sz w:val="24"/>
          <w:szCs w:val="24"/>
          <w:lang w:eastAsia="ru-RU"/>
        </w:rPr>
        <w:t>КРОСС – ПРОДАЖИ ФИНАНСОВЫХ И СТРАХОВЫХ ПРОДУКТОВ</w:t>
      </w:r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2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Кросс-продажи – приоритетное направление реализации страховых  и финансовых продуктов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3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Финансовый и страховой продукт, его состав и структура, жизненный цикл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4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Кросс-продажи и их роль в активной продаже страховых и финансовых  продуктов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5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Технология кросс-продаж основных страховых и финансовых    продуктов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6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Деятельность страховой компании "Росгосстрах" по заключению договора кросс-продаж страховых и финансовых продуктов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7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 xml:space="preserve"> Порядок заключения договора кросс-продаж страховых и финансовых продуктов в ПАО СК "Росгосстрах"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8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Документальное оформление страховых операций по договору  кросс-продаж страховых и финансовых продуктов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69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Порядок осуществления страховых выплат по договору ипотечного страхования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70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Развитие системы перекрестных продаж финансовых и страховых продуктов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71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Развитие системы партнерских продаж финансовых и страховых продуктов в ПАО  СК "Росгосстрах"</w:t>
        </w:r>
      </w:hyperlink>
    </w:p>
    <w:p w:rsidR="009125E2" w:rsidRPr="009125E2" w:rsidRDefault="009C4E31" w:rsidP="009125E2">
      <w:pPr>
        <w:pStyle w:val="11"/>
        <w:numPr>
          <w:ilvl w:val="0"/>
          <w:numId w:val="1"/>
        </w:numPr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  <w:hyperlink w:anchor="_Toc483929072" w:history="1">
        <w:r w:rsidR="009125E2" w:rsidRPr="009125E2">
          <w:rPr>
            <w:rStyle w:val="a3"/>
            <w:b w:val="0"/>
            <w:noProof/>
            <w:color w:val="auto"/>
            <w:sz w:val="24"/>
            <w:u w:val="none"/>
          </w:rPr>
          <w:t>Проблемы и перспективы развития кросс-продаж страховых и финансовых продуктов</w:t>
        </w:r>
      </w:hyperlink>
    </w:p>
    <w:p w:rsidR="009125E2" w:rsidRPr="009125E2" w:rsidRDefault="009125E2" w:rsidP="009125E2">
      <w:pPr>
        <w:pStyle w:val="11"/>
        <w:tabs>
          <w:tab w:val="right" w:leader="dot" w:pos="9345"/>
        </w:tabs>
        <w:spacing w:line="276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</w:rPr>
      </w:pPr>
    </w:p>
    <w:p w:rsidR="00881334" w:rsidRDefault="00881334" w:rsidP="00881334">
      <w:pPr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8032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«РЫНОК СТРАХОВАНИЯ НЕДВИЖИМОГО ИМУЩЕСТВА НАСЕЛЕНИЯ. СПОСОБЫ ПОВЫШЕНИЯ ПОТРБИТЕЛЬСКОЙ АКТИВНОСТИ</w:t>
      </w:r>
    </w:p>
    <w:p w:rsidR="00881334" w:rsidRPr="00881334" w:rsidRDefault="00881334" w:rsidP="0088133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1334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Современное состояние рынка страхования недвижимого имущества</w:t>
      </w:r>
    </w:p>
    <w:p w:rsidR="00881334" w:rsidRPr="00881334" w:rsidRDefault="00881334" w:rsidP="00881334">
      <w:pPr>
        <w:pStyle w:val="11"/>
        <w:numPr>
          <w:ilvl w:val="0"/>
          <w:numId w:val="2"/>
        </w:numPr>
        <w:tabs>
          <w:tab w:val="right" w:leader="dot" w:pos="9345"/>
        </w:tabs>
        <w:jc w:val="both"/>
        <w:rPr>
          <w:b w:val="0"/>
          <w:noProof/>
          <w:sz w:val="24"/>
        </w:rPr>
      </w:pPr>
      <w:hyperlink w:anchor="_Toc484452729" w:history="1">
        <w:bookmarkStart w:id="0" w:name="_GoBack"/>
        <w:bookmarkEnd w:id="0"/>
        <w:r w:rsidRPr="00881334">
          <w:rPr>
            <w:rStyle w:val="a3"/>
            <w:b w:val="0"/>
            <w:noProof/>
            <w:color w:val="auto"/>
            <w:sz w:val="24"/>
            <w:u w:val="none"/>
          </w:rPr>
          <w:t>Страховые программы ПАО «Росгосстрах» по страхованию недвижимого имущества населения</w:t>
        </w:r>
      </w:hyperlink>
    </w:p>
    <w:p w:rsidR="00881334" w:rsidRPr="00881334" w:rsidRDefault="00881334" w:rsidP="00881334">
      <w:pPr>
        <w:pStyle w:val="11"/>
        <w:numPr>
          <w:ilvl w:val="0"/>
          <w:numId w:val="2"/>
        </w:numPr>
        <w:tabs>
          <w:tab w:val="right" w:leader="dot" w:pos="9345"/>
        </w:tabs>
        <w:jc w:val="both"/>
        <w:rPr>
          <w:rFonts w:eastAsiaTheme="minorEastAsia"/>
          <w:b w:val="0"/>
          <w:noProof/>
          <w:sz w:val="24"/>
        </w:rPr>
      </w:pPr>
      <w:hyperlink w:anchor="_Toc484452728" w:history="1">
        <w:r w:rsidRPr="00881334">
          <w:rPr>
            <w:rStyle w:val="a3"/>
            <w:b w:val="0"/>
            <w:noProof/>
            <w:color w:val="auto"/>
            <w:sz w:val="24"/>
            <w:u w:val="none"/>
          </w:rPr>
          <w:t>Структура страхового портфеля недвижимого имущества населения  в ПАО «Росгосстрах»</w:t>
        </w:r>
      </w:hyperlink>
      <w:r w:rsidRPr="00881334">
        <w:rPr>
          <w:rFonts w:eastAsiaTheme="minorEastAsia"/>
          <w:b w:val="0"/>
          <w:noProof/>
          <w:sz w:val="24"/>
        </w:rPr>
        <w:t xml:space="preserve"> </w:t>
      </w:r>
    </w:p>
    <w:p w:rsidR="00881334" w:rsidRPr="00881334" w:rsidRDefault="00881334" w:rsidP="00881334">
      <w:pPr>
        <w:pStyle w:val="11"/>
        <w:numPr>
          <w:ilvl w:val="0"/>
          <w:numId w:val="2"/>
        </w:numPr>
        <w:tabs>
          <w:tab w:val="right" w:leader="dot" w:pos="9345"/>
        </w:tabs>
        <w:jc w:val="both"/>
        <w:rPr>
          <w:b w:val="0"/>
          <w:noProof/>
          <w:sz w:val="24"/>
        </w:rPr>
      </w:pPr>
      <w:hyperlink w:anchor="_Toc484452730" w:history="1">
        <w:r w:rsidRPr="00881334">
          <w:rPr>
            <w:rStyle w:val="a3"/>
            <w:b w:val="0"/>
            <w:noProof/>
            <w:color w:val="auto"/>
            <w:sz w:val="24"/>
            <w:u w:val="none"/>
          </w:rPr>
          <w:t>Расчет страховой премии по договору страхования недвижимого имущества и документальное оформление страховых операций</w:t>
        </w:r>
      </w:hyperlink>
    </w:p>
    <w:p w:rsidR="00881334" w:rsidRPr="00881334" w:rsidRDefault="00881334" w:rsidP="00881334">
      <w:pPr>
        <w:pStyle w:val="11"/>
        <w:numPr>
          <w:ilvl w:val="0"/>
          <w:numId w:val="2"/>
        </w:numPr>
        <w:tabs>
          <w:tab w:val="right" w:leader="dot" w:pos="9345"/>
        </w:tabs>
        <w:jc w:val="both"/>
        <w:rPr>
          <w:b w:val="0"/>
          <w:noProof/>
          <w:sz w:val="24"/>
        </w:rPr>
      </w:pPr>
      <w:hyperlink w:anchor="_Toc484452731" w:history="1">
        <w:r w:rsidRPr="00881334">
          <w:rPr>
            <w:rStyle w:val="a3"/>
            <w:b w:val="0"/>
            <w:noProof/>
            <w:color w:val="auto"/>
            <w:sz w:val="24"/>
            <w:u w:val="none"/>
          </w:rPr>
          <w:t>Тенденции и перспективы развития рынка страхования недвижимого имущества граждан</w:t>
        </w:r>
      </w:hyperlink>
    </w:p>
    <w:p w:rsidR="00881334" w:rsidRPr="00881334" w:rsidRDefault="00881334" w:rsidP="00881334">
      <w:pPr>
        <w:pStyle w:val="11"/>
        <w:numPr>
          <w:ilvl w:val="0"/>
          <w:numId w:val="2"/>
        </w:numPr>
        <w:tabs>
          <w:tab w:val="right" w:leader="dot" w:pos="9345"/>
        </w:tabs>
        <w:jc w:val="both"/>
        <w:rPr>
          <w:rFonts w:eastAsiaTheme="minorEastAsia"/>
          <w:b w:val="0"/>
          <w:noProof/>
          <w:sz w:val="24"/>
          <w:lang w:val="en-US"/>
        </w:rPr>
      </w:pPr>
      <w:hyperlink w:anchor="_Toc484452732" w:history="1">
        <w:r w:rsidRPr="00881334">
          <w:rPr>
            <w:rStyle w:val="a3"/>
            <w:b w:val="0"/>
            <w:noProof/>
            <w:color w:val="auto"/>
            <w:sz w:val="24"/>
            <w:u w:val="none"/>
          </w:rPr>
          <w:t xml:space="preserve"> Способы повышения потребительской активности населения</w:t>
        </w:r>
      </w:hyperlink>
    </w:p>
    <w:p w:rsidR="00881334" w:rsidRPr="00881334" w:rsidRDefault="00881334" w:rsidP="00881334">
      <w:pPr>
        <w:spacing w:after="0" w:line="240" w:lineRule="auto"/>
        <w:rPr>
          <w:sz w:val="24"/>
          <w:szCs w:val="24"/>
          <w:lang w:eastAsia="ru-RU"/>
        </w:rPr>
      </w:pPr>
    </w:p>
    <w:p w:rsidR="00881334" w:rsidRPr="00881334" w:rsidRDefault="00881334" w:rsidP="00881334">
      <w:pPr>
        <w:rPr>
          <w:lang w:eastAsia="ru-RU"/>
        </w:rPr>
      </w:pPr>
    </w:p>
    <w:p w:rsidR="00881334" w:rsidRPr="00881334" w:rsidRDefault="00881334" w:rsidP="00881334">
      <w:pPr>
        <w:rPr>
          <w:lang w:eastAsia="ru-RU"/>
        </w:rPr>
      </w:pPr>
    </w:p>
    <w:p w:rsidR="00881334" w:rsidRPr="00881334" w:rsidRDefault="00881334" w:rsidP="00881334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881334" w:rsidRPr="009E1737" w:rsidRDefault="00881334" w:rsidP="00881334">
      <w:pPr>
        <w:pStyle w:val="11"/>
        <w:tabs>
          <w:tab w:val="right" w:leader="dot" w:pos="9345"/>
        </w:tabs>
        <w:spacing w:line="360" w:lineRule="auto"/>
        <w:jc w:val="both"/>
        <w:rPr>
          <w:noProof/>
          <w:szCs w:val="28"/>
        </w:rPr>
      </w:pPr>
    </w:p>
    <w:p w:rsidR="00881334" w:rsidRPr="00881334" w:rsidRDefault="00881334" w:rsidP="00881334">
      <w:pPr>
        <w:rPr>
          <w:sz w:val="24"/>
          <w:szCs w:val="24"/>
          <w:lang w:val="en-US"/>
        </w:rPr>
      </w:pPr>
      <w:r>
        <w:rPr>
          <w:b/>
          <w:bCs/>
        </w:rPr>
        <w:fldChar w:fldCharType="end"/>
      </w:r>
    </w:p>
    <w:sectPr w:rsidR="00881334" w:rsidRPr="00881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A5290"/>
    <w:multiLevelType w:val="hybridMultilevel"/>
    <w:tmpl w:val="359E4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B0A8D"/>
    <w:multiLevelType w:val="hybridMultilevel"/>
    <w:tmpl w:val="DE9A7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CA"/>
    <w:rsid w:val="006977CA"/>
    <w:rsid w:val="00881334"/>
    <w:rsid w:val="009125E2"/>
    <w:rsid w:val="00955A5E"/>
    <w:rsid w:val="009C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33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5E2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125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13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81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3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1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33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5E2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125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13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81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3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1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2018-01-08T16:49:00Z</dcterms:created>
  <dcterms:modified xsi:type="dcterms:W3CDTF">2018-01-31T19:49:00Z</dcterms:modified>
</cp:coreProperties>
</file>